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5" w:name="_GoBack"/>
      <w:bookmarkEnd w:id="5"/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 xml:space="preserve">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1"/>
        <w:gridCol w:w="130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安徽天畅金属材料有限公司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废旧电池破碎-分选-脱硫铅膏-熔炼炉-粗铅-电解精炼-产品铅（精铅）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工艺过程消耗的能源种类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auto"/>
              </w:rPr>
              <w:t>能源消费种类煤、电力、天然气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主要的耗能设备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①富氧侧吹熔炼炉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②富氧侧吹还原炉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③熔炼炉一、二次风供风无油空气压缩机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④熔炼炉二次风供风风机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⑤还原炉二次风供风风机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⑥熔炼炉电收尘器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⑦富氧侧吹熔炼炉排烟风机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⑧还原炉布袋除尘器</w:t>
            </w:r>
          </w:p>
          <w:p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⑨富氧侧吹还原炉排烟风机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国家限额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8"/>
              <w:tblpPr w:leftFromText="180" w:rightFromText="180" w:vertAnchor="text" w:horzAnchor="page" w:tblpX="249" w:tblpY="295"/>
              <w:tblOverlap w:val="never"/>
              <w:tblW w:w="72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"/>
              <w:gridCol w:w="1621"/>
              <w:gridCol w:w="1025"/>
              <w:gridCol w:w="942"/>
              <w:gridCol w:w="870"/>
              <w:gridCol w:w="1243"/>
              <w:gridCol w:w="8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6" w:hRule="atLeast"/>
              </w:trPr>
              <w:tc>
                <w:tcPr>
                  <w:tcW w:w="227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工艺、工序</w:t>
                  </w:r>
                </w:p>
              </w:tc>
              <w:tc>
                <w:tcPr>
                  <w:tcW w:w="102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用电折算量（kg）</w:t>
                  </w:r>
                </w:p>
              </w:tc>
              <w:tc>
                <w:tcPr>
                  <w:tcW w:w="94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天然气折算量（kg）</w:t>
                  </w:r>
                </w:p>
              </w:tc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用煤量（kg）</w:t>
                  </w: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实际能耗计算值</w:t>
                  </w:r>
                </w:p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（kgce/t）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能耗限额准入值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658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废电池-再生铅</w:t>
                  </w: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废电池-再生铅工艺</w:t>
                  </w:r>
                </w:p>
              </w:tc>
              <w:tc>
                <w:tcPr>
                  <w:tcW w:w="102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439830</w:t>
                  </w:r>
                </w:p>
              </w:tc>
              <w:tc>
                <w:tcPr>
                  <w:tcW w:w="94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438900</w:t>
                  </w:r>
                </w:p>
              </w:tc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5005500</w:t>
                  </w: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129.96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≤130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658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废电池破碎工序</w:t>
                  </w:r>
                </w:p>
              </w:tc>
              <w:tc>
                <w:tcPr>
                  <w:tcW w:w="1025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132510</w:t>
                  </w:r>
                </w:p>
              </w:tc>
              <w:tc>
                <w:tcPr>
                  <w:tcW w:w="942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0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2.9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≤3.5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658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铅膏脱硫工序</w:t>
                  </w:r>
                </w:p>
              </w:tc>
              <w:tc>
                <w:tcPr>
                  <w:tcW w:w="1025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42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0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658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铅膏冶炼工序</w:t>
                  </w:r>
                </w:p>
              </w:tc>
              <w:tc>
                <w:tcPr>
                  <w:tcW w:w="1025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264040</w:t>
                  </w:r>
                </w:p>
              </w:tc>
              <w:tc>
                <w:tcPr>
                  <w:tcW w:w="942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372400</w:t>
                  </w:r>
                </w:p>
              </w:tc>
              <w:tc>
                <w:tcPr>
                  <w:tcW w:w="870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5005500</w:t>
                  </w:r>
                </w:p>
              </w:tc>
              <w:tc>
                <w:tcPr>
                  <w:tcW w:w="1243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124.61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≤280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658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铅屑冶炼工序</w:t>
                  </w:r>
                </w:p>
              </w:tc>
              <w:tc>
                <w:tcPr>
                  <w:tcW w:w="1025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42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0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金属态铅废料-再生铅工序</w:t>
                  </w:r>
                </w:p>
              </w:tc>
              <w:tc>
                <w:tcPr>
                  <w:tcW w:w="102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43280</w:t>
                  </w:r>
                </w:p>
              </w:tc>
              <w:tc>
                <w:tcPr>
                  <w:tcW w:w="94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66500</w:t>
                  </w:r>
                </w:p>
              </w:tc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2.4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产品数量</w:t>
                  </w:r>
                </w:p>
              </w:tc>
              <w:tc>
                <w:tcPr>
                  <w:tcW w:w="6559" w:type="dxa"/>
                  <w:gridSpan w:val="6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45277吨 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《GB25323-2010再生铅单位产品能源消耗限额》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2021.4.15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BC7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locked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2021-04-22T00:35:38Z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94C5ABEAC2D045A990CB294BCF39AA52</vt:lpwstr>
  </property>
</Properties>
</file>