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河北璐冉建筑工程有限公司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Q：35.11.00</w:t>
            </w:r>
          </w:p>
          <w:p>
            <w:r>
              <w:t>E：35.11.00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O：35.11.00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收集市场信息—投标—中标—资源准备—组织施工—工程交付—组织回访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公司生产、检验相关标准：主要按顾客合同和要求、</w:t>
            </w:r>
            <w:r>
              <w:rPr>
                <w:rFonts w:hint="eastAsia"/>
                <w:szCs w:val="22"/>
                <w:lang w:val="en-US" w:eastAsia="zh-CN"/>
              </w:rPr>
              <w:t>建设工程文件归档整理规范 GB/T50328-2014、建筑安装分项工程施工工艺规程（DBJ/T 01-26-2003）；、工程测量规范 GB50026-2007、建设电子文件与电子档案管理规程（ CJJ/T 117-2017）、建筑工程施工质量验收统一标准 GB 50300-2013、建设工程监理规范 GB50319-2014</w:t>
            </w:r>
            <w:r>
              <w:rPr>
                <w:rFonts w:hint="eastAsia" w:ascii="宋体" w:hAnsi="宋体"/>
                <w:szCs w:val="21"/>
              </w:rPr>
              <w:t>等指导产品生产和确定产品的接收；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规定了</w:t>
            </w:r>
            <w:r>
              <w:rPr>
                <w:rFonts w:hint="eastAsia" w:ascii="宋体" w:hAnsi="宋体"/>
                <w:szCs w:val="21"/>
              </w:rPr>
              <w:t>产品执行规范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特殊过程为：</w:t>
            </w:r>
            <w:r>
              <w:rPr>
                <w:rFonts w:hint="eastAsia"/>
              </w:rPr>
              <w:t>隐蔽工程过程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；对特殊过程进行确认。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固废排放、污染物排放、火灾事故的发生，环境安全运行控制程序、废弃物控制程序、应急准备和响应控制程序、应急预案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火灾、触电，环境安全运行控制程序、应急准备和响应控制程序、应急预案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质量法、环境保护法、安全生产法、消防法、劳动法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由顾客组织检验和试验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2021.4.14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2021.4.14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3446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2021-04-18T01:26:32Z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A11494F8C229463194F2A1CBB750DC94</vt:lpwstr>
  </property>
</Properties>
</file>