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text" w:horzAnchor="page" w:tblpX="1067" w:tblpY="477"/>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00"/>
        <w:gridCol w:w="11957"/>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27"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00" w:type="dxa"/>
            <w:vMerge w:val="restart"/>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涉及</w:t>
            </w:r>
            <w:r>
              <w:rPr>
                <w:rFonts w:hint="eastAsia" w:asciiTheme="minorEastAsia" w:hAnsiTheme="minorEastAsia" w:eastAsiaTheme="minorEastAsia" w:cstheme="minorEastAsia"/>
                <w:sz w:val="21"/>
                <w:szCs w:val="21"/>
                <w:lang w:val="en-US" w:eastAsia="zh-CN"/>
              </w:rPr>
              <w:t>-</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1957" w:type="dxa"/>
            <w:vAlign w:val="center"/>
          </w:tcPr>
          <w:p>
            <w:pPr>
              <w:snapToGrid w:val="0"/>
              <w:spacing w:line="26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受审核部门：经营管理部         主管领导：杜佳         陪同：方科  </w:t>
            </w:r>
          </w:p>
        </w:tc>
        <w:tc>
          <w:tcPr>
            <w:tcW w:w="625"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27" w:type="dxa"/>
            <w:vMerge w:val="continue"/>
            <w:vAlign w:val="center"/>
          </w:tcPr>
          <w:p>
            <w:pPr>
              <w:rPr>
                <w:rFonts w:hint="eastAsia" w:asciiTheme="minorEastAsia" w:hAnsiTheme="minorEastAsia" w:eastAsiaTheme="minorEastAsia" w:cstheme="minorEastAsia"/>
                <w:sz w:val="21"/>
                <w:szCs w:val="21"/>
              </w:rPr>
            </w:pPr>
          </w:p>
        </w:tc>
        <w:tc>
          <w:tcPr>
            <w:tcW w:w="900" w:type="dxa"/>
            <w:vMerge w:val="continue"/>
            <w:vAlign w:val="center"/>
          </w:tcPr>
          <w:p>
            <w:pPr>
              <w:rPr>
                <w:rFonts w:hint="eastAsia" w:asciiTheme="minorEastAsia" w:hAnsiTheme="minorEastAsia" w:eastAsiaTheme="minorEastAsia" w:cstheme="minorEastAsia"/>
                <w:sz w:val="21"/>
                <w:szCs w:val="21"/>
              </w:rPr>
            </w:pPr>
          </w:p>
        </w:tc>
        <w:tc>
          <w:tcPr>
            <w:tcW w:w="11957" w:type="dxa"/>
            <w:vAlign w:val="center"/>
          </w:tcPr>
          <w:p>
            <w:pPr>
              <w:snapToGrid w:val="0"/>
              <w:spacing w:line="26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审核员：李雅、王亚伟            审核时间：2021.4.14</w:t>
            </w:r>
          </w:p>
        </w:tc>
        <w:tc>
          <w:tcPr>
            <w:tcW w:w="625"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27" w:type="dxa"/>
            <w:vMerge w:val="continue"/>
            <w:vAlign w:val="center"/>
          </w:tcPr>
          <w:p>
            <w:pPr>
              <w:rPr>
                <w:rFonts w:hint="eastAsia" w:asciiTheme="minorEastAsia" w:hAnsiTheme="minorEastAsia" w:eastAsiaTheme="minorEastAsia" w:cstheme="minorEastAsia"/>
                <w:sz w:val="21"/>
                <w:szCs w:val="21"/>
              </w:rPr>
            </w:pPr>
          </w:p>
        </w:tc>
        <w:tc>
          <w:tcPr>
            <w:tcW w:w="900" w:type="dxa"/>
            <w:vMerge w:val="continue"/>
            <w:vAlign w:val="center"/>
          </w:tcPr>
          <w:p>
            <w:pPr>
              <w:rPr>
                <w:rFonts w:hint="eastAsia" w:asciiTheme="minorEastAsia" w:hAnsiTheme="minorEastAsia" w:eastAsiaTheme="minorEastAsia" w:cstheme="minorEastAsia"/>
                <w:sz w:val="21"/>
                <w:szCs w:val="21"/>
              </w:rPr>
            </w:pPr>
          </w:p>
        </w:tc>
        <w:tc>
          <w:tcPr>
            <w:tcW w:w="11957" w:type="dxa"/>
            <w:vAlign w:val="center"/>
          </w:tcPr>
          <w:p>
            <w:pPr>
              <w:snapToGrid w:val="0"/>
              <w:spacing w:line="26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策划、产品实现、基础设备、产品检测与放行，不合格的控制，统计与改进、产品放行、交付等质量、环境、安全职业健康安全管理活动安全运行控制</w:t>
            </w:r>
          </w:p>
          <w:p>
            <w:pPr>
              <w:snapToGrid w:val="0"/>
              <w:spacing w:line="26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Q:5.3/6.1/6.2</w:t>
            </w:r>
            <w:r>
              <w:rPr>
                <w:rFonts w:hint="eastAsia" w:asciiTheme="minorEastAsia" w:hAnsiTheme="minorEastAsia" w:eastAsiaTheme="minorEastAsia" w:cstheme="minorEastAsia"/>
                <w:bCs/>
                <w:color w:val="auto"/>
                <w:sz w:val="21"/>
                <w:szCs w:val="21"/>
              </w:rPr>
              <w:t>/7.1.3/7.1.4</w:t>
            </w:r>
            <w:r>
              <w:rPr>
                <w:rFonts w:hint="eastAsia" w:asciiTheme="minorEastAsia" w:hAnsiTheme="minorEastAsia" w:eastAsiaTheme="minorEastAsia" w:cstheme="minorEastAsia"/>
                <w:bCs/>
                <w:color w:val="auto"/>
                <w:sz w:val="21"/>
                <w:szCs w:val="21"/>
                <w:lang w:val="en-US" w:eastAsia="zh-CN"/>
              </w:rPr>
              <w:t>/7.1.5/</w:t>
            </w:r>
            <w:r>
              <w:rPr>
                <w:rFonts w:hint="eastAsia" w:asciiTheme="minorEastAsia" w:hAnsiTheme="minorEastAsia" w:eastAsiaTheme="minorEastAsia" w:cstheme="minorEastAsia"/>
                <w:bCs/>
                <w:color w:val="auto"/>
                <w:sz w:val="21"/>
                <w:szCs w:val="21"/>
              </w:rPr>
              <w:t>8.1</w:t>
            </w:r>
            <w:r>
              <w:rPr>
                <w:rFonts w:hint="eastAsia" w:asciiTheme="minorEastAsia" w:hAnsiTheme="minorEastAsia" w:eastAsiaTheme="minorEastAsia" w:cstheme="minorEastAsia"/>
                <w:bCs/>
                <w:color w:val="auto"/>
                <w:sz w:val="21"/>
                <w:szCs w:val="21"/>
                <w:lang w:val="en-US" w:eastAsia="zh-CN"/>
              </w:rPr>
              <w:t>/8.5/8.6/8.7/9.1.2/10.2</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EO</w:t>
            </w:r>
            <w:r>
              <w:rPr>
                <w:rFonts w:hint="eastAsia" w:asciiTheme="minorEastAsia" w:hAnsiTheme="minorEastAsia" w:eastAsiaTheme="minorEastAsia" w:cstheme="minorEastAsia"/>
                <w:bCs/>
                <w:color w:val="auto"/>
                <w:sz w:val="21"/>
                <w:szCs w:val="21"/>
              </w:rPr>
              <w:t>：5.3/</w:t>
            </w:r>
            <w:r>
              <w:rPr>
                <w:rFonts w:hint="eastAsia" w:asciiTheme="minorEastAsia" w:hAnsiTheme="minorEastAsia" w:eastAsiaTheme="minorEastAsia" w:cstheme="minorEastAsia"/>
                <w:color w:val="auto"/>
                <w:sz w:val="21"/>
                <w:szCs w:val="21"/>
              </w:rPr>
              <w:t>6.1.1</w:t>
            </w: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
                <w:bCs w:val="0"/>
                <w:color w:val="auto"/>
                <w:sz w:val="21"/>
                <w:szCs w:val="21"/>
              </w:rPr>
              <w:t>6.1.3</w:t>
            </w:r>
            <w:r>
              <w:rPr>
                <w:rFonts w:hint="eastAsia" w:asciiTheme="minorEastAsia" w:hAnsiTheme="minorEastAsia" w:eastAsiaTheme="minorEastAsia" w:cstheme="minorEastAsia"/>
                <w:b/>
                <w:bCs w:val="0"/>
                <w:color w:val="auto"/>
                <w:sz w:val="21"/>
                <w:szCs w:val="21"/>
                <w:lang w:val="en-US" w:eastAsia="zh-CN"/>
              </w:rPr>
              <w:t>/</w:t>
            </w:r>
            <w:r>
              <w:rPr>
                <w:rFonts w:hint="eastAsia" w:asciiTheme="minorEastAsia" w:hAnsiTheme="minorEastAsia" w:eastAsiaTheme="minorEastAsia" w:cstheme="minorEastAsia"/>
                <w:b/>
                <w:bCs w:val="0"/>
                <w:color w:val="auto"/>
                <w:sz w:val="21"/>
                <w:szCs w:val="21"/>
              </w:rPr>
              <w:t>9.1</w:t>
            </w:r>
            <w:r>
              <w:rPr>
                <w:rFonts w:hint="eastAsia" w:asciiTheme="minorEastAsia" w:hAnsiTheme="minorEastAsia" w:eastAsiaTheme="minorEastAsia" w:cstheme="minorEastAsia"/>
                <w:b/>
                <w:bCs w:val="0"/>
                <w:color w:val="auto"/>
                <w:sz w:val="21"/>
                <w:szCs w:val="21"/>
                <w:lang w:val="en-US" w:eastAsia="zh-CN"/>
              </w:rPr>
              <w:t>.2/</w:t>
            </w:r>
            <w:r>
              <w:rPr>
                <w:rFonts w:hint="eastAsia" w:asciiTheme="minorEastAsia" w:hAnsiTheme="minorEastAsia" w:eastAsiaTheme="minorEastAsia" w:cstheme="minorEastAsia"/>
                <w:b/>
                <w:bCs w:val="0"/>
                <w:color w:val="auto"/>
                <w:sz w:val="21"/>
                <w:szCs w:val="21"/>
              </w:rPr>
              <w:t>6.1.2/6.1.4</w:t>
            </w: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
                <w:bCs w:val="0"/>
                <w:color w:val="auto"/>
                <w:sz w:val="21"/>
                <w:szCs w:val="21"/>
              </w:rPr>
              <w:t>6.2</w:t>
            </w:r>
            <w:r>
              <w:rPr>
                <w:rFonts w:hint="eastAsia" w:asciiTheme="minorEastAsia" w:hAnsiTheme="minorEastAsia" w:eastAsiaTheme="minorEastAsia" w:cstheme="minorEastAsia"/>
                <w:bCs/>
                <w:color w:val="auto"/>
                <w:sz w:val="21"/>
                <w:szCs w:val="21"/>
              </w:rPr>
              <w:t>/8.1/8.2</w:t>
            </w:r>
          </w:p>
        </w:tc>
        <w:tc>
          <w:tcPr>
            <w:tcW w:w="625"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kern w:val="0"/>
                <w:sz w:val="21"/>
                <w:szCs w:val="21"/>
                <w:lang w:val="en-US" w:eastAsia="zh-CN" w:bidi="ar"/>
              </w:rPr>
              <w:t>岗位、职责和权限</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QEO5.3</w:t>
            </w:r>
          </w:p>
        </w:tc>
        <w:tc>
          <w:tcPr>
            <w:tcW w:w="11957" w:type="dxa"/>
          </w:tcPr>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经营管理部职责：</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集团战略规划的指引下,组织制定总部各部门、各一级子公司发展规划,并组织实施集团发展规划,并监督执行情况;组织对集团整体和各一级子公司的战略进行动态调整和不断完善；负责组织集团年度经营计划与目标的分解;审核一级子公司季度/月度经营目标；审核一级子公司年度季度/月度经营计划的制定,跟踪完成情况;负责公司公关相关内容的选题、撰写,结合行业背景和趋势,提炼公司业务、产品亮点,形成有影响力的公关内容,并进行发布和传播;</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具体负责停车场的管理工作。</w:t>
            </w:r>
          </w:p>
        </w:tc>
        <w:tc>
          <w:tcPr>
            <w:tcW w:w="625"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风险和机遇及应对措施</w:t>
            </w:r>
          </w:p>
        </w:tc>
        <w:tc>
          <w:tcPr>
            <w:tcW w:w="900" w:type="dxa"/>
          </w:tcPr>
          <w:p>
            <w:pPr>
              <w:pStyle w:val="2"/>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QEO</w:t>
            </w: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color w:val="auto"/>
                <w:sz w:val="21"/>
                <w:szCs w:val="21"/>
              </w:rPr>
              <w:t>6.1</w:t>
            </w:r>
          </w:p>
        </w:tc>
        <w:tc>
          <w:tcPr>
            <w:tcW w:w="11957" w:type="dxa"/>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经现场了解，经营管理部的风险是车辆的碰撞和自燃，制定措施是进行疏导和按照线路行驶，准备灭火器材。</w:t>
            </w:r>
          </w:p>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机遇是国家政策，随着国家对环境的要求提高以及车辆越来越多，停车场会越来越多，停车场业务会越来越多，给企业做大做强提供了机遇，应该好好把握。</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sz w:val="21"/>
                <w:szCs w:val="21"/>
                <w:lang w:val="en-US" w:eastAsia="zh-CN"/>
              </w:rPr>
              <w:t>目标、方案</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QEO6.2</w:t>
            </w:r>
          </w:p>
        </w:tc>
        <w:tc>
          <w:tcPr>
            <w:tcW w:w="11957" w:type="dxa"/>
          </w:tcPr>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经营管理部的目标及考核情况</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         目标                                      考核结果</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1  安全运行率95%以上                                 100%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2  停车管理配套设施完好率98%以上                      100%          </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  固体废弃物100%分类处理                       100%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  环境污染事故发生率为零                         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  预防火灾发生                                   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  加强用电管理                                  达标</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  安全事故发生率为零                              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编制：方科                批准/日期：佘丽花  2020.07.01</w:t>
            </w:r>
          </w:p>
        </w:tc>
        <w:tc>
          <w:tcPr>
            <w:tcW w:w="625" w:type="dxa"/>
          </w:tcPr>
          <w:p>
            <w:pPr>
              <w:pStyle w:val="2"/>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环境因素/危险源识别评价</w:t>
            </w:r>
          </w:p>
        </w:tc>
        <w:tc>
          <w:tcPr>
            <w:tcW w:w="900"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EO/6.1.2</w:t>
            </w:r>
          </w:p>
        </w:tc>
        <w:tc>
          <w:tcPr>
            <w:tcW w:w="11957" w:type="dxa"/>
          </w:tcPr>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编制了《环境因素识别与评价控制程序》，经查基本符合标准要求。</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提供《环境因素评价表》，包括固废废弃、汽车尾气排放、意外火灾等。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可以提供《重要环境因素清单》，其中重要环境因素：潜在火灾、固废、汽车尾气、噪声。</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评价基本合理。</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提供了职业健康安全危险源识别与评价表，涉及本部门的危险源包括：潜在火灾，车辆自燃、交通危险等。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用LEC法对识别的危险源进行评价，本部门不可接受风险：火灾、车辆自燃、新冠病毒，评价基本准确。</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基础设施</w:t>
            </w:r>
          </w:p>
        </w:tc>
        <w:tc>
          <w:tcPr>
            <w:tcW w:w="900" w:type="dxa"/>
          </w:tcPr>
          <w:p>
            <w:pPr>
              <w:pStyle w:val="2"/>
              <w:rPr>
                <w:rFonts w:hint="eastAsia" w:asciiTheme="minorEastAsia" w:hAnsiTheme="minorEastAsia" w:eastAsiaTheme="minorEastAsia" w:cstheme="minorEastAsia"/>
                <w:color w:val="0000FF"/>
                <w:sz w:val="21"/>
                <w:szCs w:val="21"/>
                <w:lang w:val="en-US" w:eastAsia="zh-CN"/>
              </w:rPr>
            </w:pPr>
            <w:r>
              <w:rPr>
                <w:rFonts w:hint="eastAsia" w:asciiTheme="minorEastAsia" w:hAnsiTheme="minorEastAsia" w:eastAsiaTheme="minorEastAsia" w:cstheme="minorEastAsia"/>
                <w:bCs/>
                <w:color w:val="auto"/>
                <w:sz w:val="21"/>
                <w:szCs w:val="21"/>
              </w:rPr>
              <w:t>7.1.3</w:t>
            </w:r>
          </w:p>
        </w:tc>
        <w:tc>
          <w:tcPr>
            <w:tcW w:w="11957" w:type="dxa"/>
          </w:tcPr>
          <w:p>
            <w:pPr>
              <w:spacing w:line="360" w:lineRule="auto"/>
              <w:ind w:firstLine="420" w:firstLineChars="200"/>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公司的基础设施有：智能道闸、智能系统、监控系统、洗地机、照明设备设施；还有办公设备如：电脑、打印机、传真机等。</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提供《设备维护记录》，2019年3月19日 对上述设备设施进行了维护和维修。</w:t>
            </w:r>
          </w:p>
          <w:p>
            <w:pPr>
              <w:ind w:right="-62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编制：方科    日期：2019年3月19日     批准：佘丽花    日期：2019年3月19日</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过程运行环境</w:t>
            </w:r>
          </w:p>
        </w:tc>
        <w:tc>
          <w:tcPr>
            <w:tcW w:w="900" w:type="dxa"/>
          </w:tcPr>
          <w:p>
            <w:pPr>
              <w:pStyle w:val="2"/>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7.1.4</w:t>
            </w:r>
          </w:p>
        </w:tc>
        <w:tc>
          <w:tcPr>
            <w:tcW w:w="11957" w:type="dxa"/>
            <w:vAlign w:val="center"/>
          </w:tcPr>
          <w:p>
            <w:pPr>
              <w:pStyle w:val="16"/>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w:t>
            </w:r>
            <w:r>
              <w:rPr>
                <w:rFonts w:hint="eastAsia" w:asciiTheme="minorEastAsia" w:hAnsiTheme="minorEastAsia" w:eastAsiaTheme="minorEastAsia" w:cstheme="minorEastAsia"/>
                <w:sz w:val="21"/>
                <w:szCs w:val="21"/>
                <w:lang w:val="en-US" w:eastAsia="zh-CN"/>
              </w:rPr>
              <w:t>负责的停车场</w:t>
            </w:r>
            <w:r>
              <w:rPr>
                <w:rFonts w:hint="eastAsia" w:asciiTheme="minorEastAsia" w:hAnsiTheme="minorEastAsia" w:eastAsiaTheme="minorEastAsia" w:cstheme="minorEastAsia"/>
                <w:sz w:val="21"/>
                <w:szCs w:val="21"/>
              </w:rPr>
              <w:t>内部较宽敞，</w:t>
            </w:r>
            <w:r>
              <w:rPr>
                <w:rFonts w:hint="eastAsia" w:asciiTheme="minorEastAsia" w:hAnsiTheme="minorEastAsia" w:eastAsiaTheme="minorEastAsia" w:cstheme="minorEastAsia"/>
                <w:sz w:val="21"/>
                <w:szCs w:val="21"/>
                <w:lang w:val="en-US" w:eastAsia="zh-CN"/>
              </w:rPr>
              <w:t>车辆</w:t>
            </w:r>
            <w:r>
              <w:rPr>
                <w:rFonts w:hint="eastAsia" w:asciiTheme="minorEastAsia" w:hAnsiTheme="minorEastAsia" w:eastAsiaTheme="minorEastAsia" w:cstheme="minorEastAsia"/>
                <w:sz w:val="21"/>
                <w:szCs w:val="21"/>
              </w:rPr>
              <w:t>有序摆放，间距合理，采光及通风效果较好。</w:t>
            </w:r>
          </w:p>
          <w:p>
            <w:pPr>
              <w:pStyle w:val="16"/>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停车场</w:t>
            </w:r>
            <w:r>
              <w:rPr>
                <w:rFonts w:hint="eastAsia" w:asciiTheme="minorEastAsia" w:hAnsiTheme="minorEastAsia" w:eastAsiaTheme="minorEastAsia" w:cstheme="minorEastAsia"/>
                <w:sz w:val="21"/>
                <w:szCs w:val="21"/>
              </w:rPr>
              <w:t>内</w:t>
            </w:r>
            <w:r>
              <w:rPr>
                <w:rFonts w:hint="eastAsia" w:asciiTheme="minorEastAsia" w:hAnsiTheme="minorEastAsia" w:eastAsiaTheme="minorEastAsia" w:cstheme="minorEastAsia"/>
                <w:sz w:val="21"/>
                <w:szCs w:val="21"/>
                <w:lang w:val="en-US" w:eastAsia="zh-CN"/>
              </w:rPr>
              <w:t>明显处</w:t>
            </w:r>
            <w:r>
              <w:rPr>
                <w:rFonts w:hint="eastAsia" w:asciiTheme="minorEastAsia" w:hAnsiTheme="minorEastAsia" w:eastAsiaTheme="minorEastAsia" w:cstheme="minorEastAsia"/>
                <w:sz w:val="21"/>
                <w:szCs w:val="21"/>
              </w:rPr>
              <w:t>配置了灭火器及消防栓，灭火器在有效期内，消防栓内附件齐全。</w:t>
            </w:r>
          </w:p>
          <w:p>
            <w:pPr>
              <w:pStyle w:val="16"/>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停车场内</w:t>
            </w:r>
            <w:r>
              <w:rPr>
                <w:rFonts w:hint="eastAsia" w:asciiTheme="minorEastAsia" w:hAnsiTheme="minorEastAsia" w:eastAsiaTheme="minorEastAsia" w:cstheme="minorEastAsia"/>
                <w:sz w:val="21"/>
                <w:szCs w:val="21"/>
              </w:rPr>
              <w:t>较干净整洁，</w:t>
            </w:r>
            <w:r>
              <w:rPr>
                <w:rFonts w:hint="eastAsia" w:asciiTheme="minorEastAsia" w:hAnsiTheme="minorEastAsia" w:eastAsiaTheme="minorEastAsia" w:cstheme="minorEastAsia"/>
                <w:sz w:val="21"/>
                <w:szCs w:val="21"/>
                <w:lang w:val="en-US" w:eastAsia="zh-CN"/>
              </w:rPr>
              <w:t>车辆停放整齐</w:t>
            </w:r>
            <w:r>
              <w:rPr>
                <w:rFonts w:hint="eastAsia" w:asciiTheme="minorEastAsia" w:hAnsiTheme="minorEastAsia" w:eastAsiaTheme="minorEastAsia" w:cstheme="minorEastAsia"/>
                <w:sz w:val="21"/>
                <w:szCs w:val="21"/>
              </w:rPr>
              <w:t>。</w:t>
            </w:r>
          </w:p>
          <w:p>
            <w:pPr>
              <w:spacing w:line="360" w:lineRule="exact"/>
              <w:contextualSpacing/>
              <w:jc w:val="left"/>
              <w:rPr>
                <w:rFonts w:hint="eastAsia" w:asciiTheme="minorEastAsia" w:hAnsiTheme="minorEastAsia" w:eastAsiaTheme="minorEastAsia" w:cstheme="minorEastAsia"/>
                <w:snapToGrid w:val="0"/>
                <w:kern w:val="0"/>
                <w:sz w:val="21"/>
                <w:szCs w:val="21"/>
                <w:lang w:val="en-US" w:eastAsia="zh-CN" w:bidi="ar-SA"/>
              </w:rPr>
            </w:pPr>
            <w:r>
              <w:rPr>
                <w:rFonts w:hint="eastAsia" w:asciiTheme="minorEastAsia" w:hAnsiTheme="minorEastAsia" w:eastAsiaTheme="minorEastAsia" w:cstheme="minorEastAsia"/>
                <w:sz w:val="21"/>
                <w:szCs w:val="21"/>
              </w:rPr>
              <w:t>企业在面对员工心理因素方面的工作主要采取有一些措施，在招聘人员入职会进行多次多方面的考核评价新员工的经验经历，工作态度社会价值观等方面的评价。企业内部建有工作群，上下之间及跨部门业务都可以通过电话通讯等方式沟通，所有员工的沟通交流可以公开透明，企业每周工作5日8小时制，严格格按照劳动法规执行相关规定及待遇。企业过程运行环境基本符合要求。</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监视和测量资源</w:t>
            </w:r>
          </w:p>
        </w:tc>
        <w:tc>
          <w:tcPr>
            <w:tcW w:w="900" w:type="dxa"/>
          </w:tcPr>
          <w:p>
            <w:pPr>
              <w:pStyle w:val="2"/>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lang w:val="en-US" w:eastAsia="zh-CN"/>
              </w:rPr>
              <w:t>7.1.5</w:t>
            </w:r>
          </w:p>
        </w:tc>
        <w:tc>
          <w:tcPr>
            <w:tcW w:w="11957" w:type="dxa"/>
          </w:tcPr>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公司的监视和测量设备是视频监控系统，视频监控系统不存在死角、清晰、贮存系统是否有良好，可以随时调取以前的监控记录，监控设备及时升级更新，维护保养。</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472690" cy="1390650"/>
                  <wp:effectExtent l="0" t="0" r="3810" b="0"/>
                  <wp:docPr id="2" name="图片 2" descr="f7d03e032eda79266ceb1b730713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7d03e032eda79266ceb1b7307137c2"/>
                          <pic:cNvPicPr>
                            <a:picLocks noChangeAspect="1"/>
                          </pic:cNvPicPr>
                        </pic:nvPicPr>
                        <pic:blipFill>
                          <a:blip r:embed="rId6"/>
                          <a:stretch>
                            <a:fillRect/>
                          </a:stretch>
                        </pic:blipFill>
                        <pic:spPr>
                          <a:xfrm>
                            <a:off x="0" y="0"/>
                            <a:ext cx="2472690" cy="139065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686560" cy="1481455"/>
                  <wp:effectExtent l="0" t="0" r="8890" b="4445"/>
                  <wp:docPr id="3" name="图片 3" descr="监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监控1"/>
                          <pic:cNvPicPr>
                            <a:picLocks noChangeAspect="1"/>
                          </pic:cNvPicPr>
                        </pic:nvPicPr>
                        <pic:blipFill>
                          <a:blip r:embed="rId7"/>
                          <a:stretch>
                            <a:fillRect/>
                          </a:stretch>
                        </pic:blipFill>
                        <pic:spPr>
                          <a:xfrm>
                            <a:off x="0" y="0"/>
                            <a:ext cx="1686560" cy="148145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600200" cy="1454150"/>
                  <wp:effectExtent l="0" t="0" r="0" b="12700"/>
                  <wp:docPr id="4" name="图片 4" descr="监控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监控4"/>
                          <pic:cNvPicPr>
                            <a:picLocks noChangeAspect="1"/>
                          </pic:cNvPicPr>
                        </pic:nvPicPr>
                        <pic:blipFill>
                          <a:blip r:embed="rId8"/>
                          <a:stretch>
                            <a:fillRect/>
                          </a:stretch>
                        </pic:blipFill>
                        <pic:spPr>
                          <a:xfrm>
                            <a:off x="0" y="0"/>
                            <a:ext cx="1600200" cy="1454150"/>
                          </a:xfrm>
                          <a:prstGeom prst="rect">
                            <a:avLst/>
                          </a:prstGeom>
                        </pic:spPr>
                      </pic:pic>
                    </a:graphicData>
                  </a:graphic>
                </wp:inline>
              </w:drawing>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运行的策划和控制</w:t>
            </w:r>
          </w:p>
        </w:tc>
        <w:tc>
          <w:tcPr>
            <w:tcW w:w="900"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QEO8.1</w:t>
            </w:r>
          </w:p>
        </w:tc>
        <w:tc>
          <w:tcPr>
            <w:tcW w:w="11957" w:type="dxa"/>
          </w:tcPr>
          <w:p>
            <w:pPr>
              <w:ind w:firstLine="400" w:firstLineChars="200"/>
              <w:rPr>
                <w:rFonts w:hint="eastAsia" w:asciiTheme="minorEastAsia" w:hAnsiTheme="minorEastAsia" w:eastAsiaTheme="minorEastAsia" w:cstheme="minorEastAsia"/>
                <w:color w:val="auto"/>
                <w:sz w:val="21"/>
                <w:szCs w:val="21"/>
                <w:lang w:val="en-US" w:eastAsia="zh-CN"/>
              </w:rPr>
            </w:pPr>
            <w:r>
              <w:rPr>
                <w:rFonts w:hint="eastAsia" w:ascii="宋体" w:hAnsi="宋体"/>
                <w:color w:val="000000"/>
                <w:sz w:val="20"/>
                <w:szCs w:val="20"/>
              </w:rPr>
              <w:t>产品生产工艺</w:t>
            </w:r>
            <w:r>
              <w:rPr>
                <w:rFonts w:ascii="宋体" w:hAnsi="宋体"/>
                <w:color w:val="000000"/>
                <w:sz w:val="20"/>
                <w:szCs w:val="20"/>
              </w:rPr>
              <w:t>/</w:t>
            </w:r>
            <w:r>
              <w:rPr>
                <w:rFonts w:hint="eastAsia" w:ascii="宋体" w:hAnsi="宋体"/>
                <w:color w:val="000000"/>
                <w:sz w:val="20"/>
                <w:szCs w:val="20"/>
              </w:rPr>
              <w:t>服务提供流程</w:t>
            </w:r>
            <w:r>
              <w:rPr>
                <w:rFonts w:hint="eastAsia" w:ascii="宋体" w:hAnsi="宋体"/>
                <w:color w:val="000000"/>
                <w:sz w:val="20"/>
                <w:szCs w:val="20"/>
                <w:lang w:eastAsia="zh-CN"/>
              </w:rPr>
              <w:t>：</w:t>
            </w:r>
            <w:r>
              <w:rPr>
                <w:rFonts w:hint="eastAsia" w:asciiTheme="minorEastAsia" w:hAnsiTheme="minorEastAsia" w:eastAsiaTheme="minorEastAsia" w:cstheme="minorEastAsia"/>
                <w:color w:val="auto"/>
                <w:sz w:val="21"/>
                <w:szCs w:val="21"/>
                <w:lang w:val="en-US" w:eastAsia="zh-CN"/>
              </w:rPr>
              <w:t xml:space="preserve">车牌抓拍、识别→车辆进场→自助泊车→后台管理系统→车牌抓拍、识别→车辆出厂 </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关键过程：</w:t>
            </w:r>
            <w:r>
              <w:rPr>
                <w:rFonts w:hint="eastAsia" w:asciiTheme="minorEastAsia" w:hAnsiTheme="minorEastAsia" w:eastAsiaTheme="minorEastAsia" w:cstheme="minorEastAsia"/>
                <w:sz w:val="21"/>
                <w:szCs w:val="21"/>
                <w:lang w:val="en-US" w:eastAsia="zh-CN"/>
              </w:rPr>
              <w:t>停车服务过程</w:t>
            </w:r>
            <w:r>
              <w:rPr>
                <w:rFonts w:hint="eastAsia" w:asciiTheme="minorEastAsia" w:hAnsiTheme="minorEastAsia" w:eastAsiaTheme="minorEastAsia" w:cstheme="minorEastAsia"/>
                <w:color w:val="auto"/>
                <w:sz w:val="21"/>
                <w:szCs w:val="21"/>
                <w:lang w:val="en-US" w:eastAsia="zh-CN"/>
              </w:rPr>
              <w:t xml:space="preserve">       </w:t>
            </w:r>
          </w:p>
          <w:p>
            <w:pPr>
              <w:pStyle w:val="2"/>
              <w:rPr>
                <w:rFonts w:hint="default"/>
                <w:lang w:val="en-US" w:eastAsia="zh-CN"/>
              </w:rPr>
            </w:pPr>
            <w:r>
              <w:rPr>
                <w:rFonts w:hint="eastAsia" w:asciiTheme="minorEastAsia" w:hAnsiTheme="minorEastAsia" w:eastAsiaTheme="minorEastAsia" w:cstheme="minorEastAsia"/>
                <w:color w:val="auto"/>
                <w:sz w:val="21"/>
                <w:szCs w:val="21"/>
                <w:lang w:val="en-US" w:eastAsia="zh-CN"/>
              </w:rPr>
              <w:t>特殊过程：</w:t>
            </w:r>
            <w:r>
              <w:rPr>
                <w:rFonts w:hint="eastAsia" w:asciiTheme="minorEastAsia" w:hAnsiTheme="minorEastAsia" w:eastAsiaTheme="minorEastAsia" w:cstheme="minorEastAsia"/>
                <w:sz w:val="21"/>
                <w:szCs w:val="21"/>
                <w:lang w:val="en-US" w:eastAsia="zh-CN"/>
              </w:rPr>
              <w:t>停车服务过程</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识别已经确定停车场服务过程的环境因素：确定这些改变带来的具有、或可能具有重大影响的因素（重要环境因素）并建立控制的记录；确定运行控制的程序或建立新的目标和指标；对涉及到的间接重要环境因素通报给顾客及甲方；建立应急准备与相应控制机制。</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公司的主要环境因素为潜在火灾、固废、汽车尾气、噪声。</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经现场询查得知：</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公共停车场出入口前5m范围内有禁止停车标志；</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公共停车场出入口坡道进行了路面防滑处理，并加装了遮光布和防御设置；</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公共停车场入口车道设置符合规范；</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公共停车场出入口的控制系统符合相关要求，挡车杆符合要求；</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公共停车场的出入口坡道设置符合要求，螺旋坡道设置了反光道钉、反光轮廓标志、反光警示等，直线道破有出入指示标志；</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公共停车场地面进行了硬化处理和地板漆处理，美观好看。</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公共停车场场内柱体、阳角及凸出购件距地面1m处设置防撞墙设置。</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抽查-固体废物处理记录   编号：JL-7.7-03</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时间2020.6.10 废纸  1.5Kg 处理方式：物业公司回收。</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时间2020.5.15包装袋  1个 处理方式：回收。</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在风险控制方面策划了：风险和机遇控制程序、环境绩效检测控制程序管理制度、应急准备及响应程序等。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1、查看《环境检查记录表》。</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检查时间：2020年5月28日；</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检查项目：停车场废水、停车场固废丢弃、电消耗、安全检查、一般因素等。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检查情况：停车场没有问题。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检查人员：饶平定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1、查环境安全检查情况统计表</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检查内容：停车场固废及安全隐患检查等。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检查结果及处理：生产现场安全问题，当即整改。</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检查人：饶平定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检查时间：2020年6月1日</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4、查用电安全检查记录</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检查时间：2020.6.1</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检查内容：用电安全等7项。</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检查结果：合格</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检查人：饶平定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5、查体系运行检查记录表</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检查内容：疫情期间职业健康安全保护用品（口罩）发放情况、职业健康教育情况、临时用电情况、物品存放、固体废物分类情况、现场垃圾排放情况、办公楼固体废物分类处置情况、灭火器配置情况等。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检查人：饶平定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检查日期：2020年5月16日</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运行策划和控制符合要求；</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应急准备和相应</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EO8.2</w:t>
            </w:r>
          </w:p>
        </w:tc>
        <w:tc>
          <w:tcPr>
            <w:tcW w:w="11957" w:type="dxa"/>
            <w:vAlign w:val="top"/>
          </w:tcPr>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提供：“突发事件处理预案及流程”</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内容有：火警、死亡事故、匪警或盗车事故、交通堵塞事故、打架斗殴事件、防汛应急预案。</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内容不符合要求。</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提供停车场的爆炸、公共卫生防疫、供电的应急预案，也不能提供对应急预案进行培</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训和演练的证据。</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停车场服务的控制</w:t>
            </w:r>
          </w:p>
        </w:tc>
        <w:tc>
          <w:tcPr>
            <w:tcW w:w="900"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Q8.5</w:t>
            </w:r>
          </w:p>
        </w:tc>
        <w:tc>
          <w:tcPr>
            <w:tcW w:w="11957" w:type="dxa"/>
            <w:vAlign w:val="top"/>
          </w:tcPr>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公司建立了24h停车场客服中心管理标准、车辆进出场巡视安全操作管理规范、车辆规范管理制度、交接班管理制度等，对停车场进行日常管理和监控。</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提供车辆停车运行图：</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497965" cy="1998345"/>
                  <wp:effectExtent l="0" t="0" r="6985" b="1905"/>
                  <wp:docPr id="10" name="图片 10" descr="1597217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7217082(1)"/>
                          <pic:cNvPicPr>
                            <a:picLocks noChangeAspect="1"/>
                          </pic:cNvPicPr>
                        </pic:nvPicPr>
                        <pic:blipFill>
                          <a:blip r:embed="rId9"/>
                          <a:stretch>
                            <a:fillRect/>
                          </a:stretch>
                        </pic:blipFill>
                        <pic:spPr>
                          <a:xfrm>
                            <a:off x="0" y="0"/>
                            <a:ext cx="1497965" cy="1998345"/>
                          </a:xfrm>
                          <a:prstGeom prst="rect">
                            <a:avLst/>
                          </a:prstGeom>
                        </pic:spPr>
                      </pic:pic>
                    </a:graphicData>
                  </a:graphic>
                </wp:inline>
              </w:drawing>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按照车辆引导流转服务流程图进行管理车辆。</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经现场询问，1、公司的停车场入口处显著位置设置了机动车停车标牌、收费价目牌、公示牌，公示牌内容包括：经营者名称、开放时间、车型、监督举报电话等；</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公共停车场地面清晰地标出车行引导线，设置出入口标志或在车行道上设置下垂式出入口引导牌；在显著位置设置电梯间引导标志或在人行道上方设置下垂式电梯间引导牌；</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公共停车场内设置了信息图形标志；</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公共停车场地面标线清晰，标志明显，标志和标线的设计设置符合相关要求；</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公共停车场内的服务岗亭的设置不影响车辆驾驶者行车视线；</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公共停车场的电子计时收费装置采取了安全防护措施，并设置在平坦路段，在计费装置前留有不少于10m的直行行车的距离；</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公共停车场有多个出口且连接多条道路并设置有指路标志；</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地下停车场有广播服务系统</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地下停车场设置有通讯信号设备；</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停车场的日常方法有：</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设置客户服务电话：在停车场内进行公示停车场客户服务电话，接听客户咨询电话和投诉电话。除受理听客户咨询和投诉外，主动向客户提供车辆相关事宜提醒服务业务：例如：车辆年审验车提醒、车辆保险到期提醒、车辆限行提醒、月租到期缴费提醒、代驾等服务。</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2设置24h现场服务岗：在停车场内设置24小时现场办公客服中心岗，使进入停车场的客户在有需求时能够快速得到帮助。</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3车辆月租客户缴费办理服务：客户可自至客服中心办理月租缴费、退费手续。也可致电停车场客服中心服务电话，预约上门办理缴费以及其他服务手续。24h停车场客服中心设计图</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停车场岗位规范有：</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1.接听客户电话要热情，运用专业术语，认真解答客户提出的疑问，不对客户做夸大其词的承诺。</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2.熟练掌握停车场服务项目及大厦布局相关信息，并全面了解客户需求，严格按照公司规定及时为客户解决问题。</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3.客服人员代表公司及物业形象，明确客户投诉的真正原因及想要得到的解决方案，注意语言沟通的技巧，不得与客户发生争执，不得做有损公司及物业利益的事情。</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4.客服人员接到客户的投诉或抱怨时，要主动向客户致歉并妥善处理，并视情节轻重上报公司或物业。</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5.客服人员根据每天的工作情况，把客户反馈的不同情况以工作日志的形式进行详细的登记，特殊客户情况需向本项目负责人汇报，并每月上报工作总结。</w:t>
            </w:r>
          </w:p>
          <w:p>
            <w:pPr>
              <w:spacing w:line="16" w:lineRule="atLeast"/>
              <w:jc w:val="left"/>
              <w:rPr>
                <w:rFonts w:hint="eastAsia" w:asciiTheme="minorEastAsia" w:hAnsiTheme="minorEastAsia" w:eastAsiaTheme="minorEastAsia" w:cstheme="minorEastAsia"/>
                <w:sz w:val="21"/>
                <w:szCs w:val="21"/>
                <w:lang w:val="en-US" w:eastAsia="zh-CN"/>
              </w:rPr>
            </w:pP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识别了“停车服务过程”为特殊过程，并进行了确认：确认表如下：</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inline distT="0" distB="0" distL="114300" distR="114300">
                  <wp:extent cx="1250315" cy="1722120"/>
                  <wp:effectExtent l="0" t="0" r="6985"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lum contrast="42000"/>
                          </a:blip>
                          <a:stretch>
                            <a:fillRect/>
                          </a:stretch>
                        </pic:blipFill>
                        <pic:spPr>
                          <a:xfrm>
                            <a:off x="0" y="0"/>
                            <a:ext cx="1250315" cy="1722120"/>
                          </a:xfrm>
                          <a:prstGeom prst="rect">
                            <a:avLst/>
                          </a:prstGeom>
                          <a:noFill/>
                          <a:ln>
                            <a:noFill/>
                          </a:ln>
                        </pic:spPr>
                      </pic:pic>
                    </a:graphicData>
                  </a:graphic>
                </wp:inline>
              </w:drawing>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通过图片可以看到，车辆停放规范，如下图：</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633220" cy="1138555"/>
                  <wp:effectExtent l="0" t="0" r="5080" b="4445"/>
                  <wp:docPr id="5" name="图片 5" descr="指示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指示牌3"/>
                          <pic:cNvPicPr>
                            <a:picLocks noChangeAspect="1"/>
                          </pic:cNvPicPr>
                        </pic:nvPicPr>
                        <pic:blipFill>
                          <a:blip r:embed="rId11"/>
                          <a:stretch>
                            <a:fillRect/>
                          </a:stretch>
                        </pic:blipFill>
                        <pic:spPr>
                          <a:xfrm>
                            <a:off x="0" y="0"/>
                            <a:ext cx="1633220" cy="113855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drawing>
                <wp:inline distT="0" distB="0" distL="114300" distR="114300">
                  <wp:extent cx="1518920" cy="1139190"/>
                  <wp:effectExtent l="0" t="0" r="5080" b="3810"/>
                  <wp:docPr id="6" name="图片 6" descr="消防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消防6"/>
                          <pic:cNvPicPr>
                            <a:picLocks noChangeAspect="1"/>
                          </pic:cNvPicPr>
                        </pic:nvPicPr>
                        <pic:blipFill>
                          <a:blip r:embed="rId12"/>
                          <a:stretch>
                            <a:fillRect/>
                          </a:stretch>
                        </pic:blipFill>
                        <pic:spPr>
                          <a:xfrm>
                            <a:off x="0" y="0"/>
                            <a:ext cx="1518920" cy="1139190"/>
                          </a:xfrm>
                          <a:prstGeom prst="rect">
                            <a:avLst/>
                          </a:prstGeom>
                        </pic:spPr>
                      </pic:pic>
                    </a:graphicData>
                  </a:graphic>
                </wp:inline>
              </w:drawing>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439545" cy="1079500"/>
                  <wp:effectExtent l="0" t="0" r="8255" b="6350"/>
                  <wp:docPr id="8" name="图片 8" descr="指示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指示牌2"/>
                          <pic:cNvPicPr>
                            <a:picLocks noChangeAspect="1"/>
                          </pic:cNvPicPr>
                        </pic:nvPicPr>
                        <pic:blipFill>
                          <a:blip r:embed="rId13"/>
                          <a:stretch>
                            <a:fillRect/>
                          </a:stretch>
                        </pic:blipFill>
                        <pic:spPr>
                          <a:xfrm>
                            <a:off x="0" y="0"/>
                            <a:ext cx="1439545" cy="107950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291590" cy="969010"/>
                  <wp:effectExtent l="0" t="0" r="3810" b="2540"/>
                  <wp:docPr id="9" name="图片 9" descr="行车安全广角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行车安全广角镜"/>
                          <pic:cNvPicPr>
                            <a:picLocks noChangeAspect="1"/>
                          </pic:cNvPicPr>
                        </pic:nvPicPr>
                        <pic:blipFill>
                          <a:blip r:embed="rId14"/>
                          <a:stretch>
                            <a:fillRect/>
                          </a:stretch>
                        </pic:blipFill>
                        <pic:spPr>
                          <a:xfrm>
                            <a:off x="0" y="0"/>
                            <a:ext cx="1291590" cy="969010"/>
                          </a:xfrm>
                          <a:prstGeom prst="rect">
                            <a:avLst/>
                          </a:prstGeom>
                        </pic:spPr>
                      </pic:pic>
                    </a:graphicData>
                  </a:graphic>
                </wp:inline>
              </w:drawing>
            </w:r>
          </w:p>
          <w:p>
            <w:pPr>
              <w:spacing w:line="16" w:lineRule="atLeast"/>
              <w:jc w:val="left"/>
              <w:rPr>
                <w:rFonts w:hint="eastAsia" w:asciiTheme="minorEastAsia" w:hAnsiTheme="minorEastAsia" w:eastAsiaTheme="minorEastAsia" w:cstheme="minorEastAsia"/>
                <w:sz w:val="21"/>
                <w:szCs w:val="21"/>
                <w:lang w:val="en-US" w:eastAsia="zh-CN"/>
              </w:rPr>
            </w:pP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岗位有交接班记录：</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59264" behindDoc="0" locked="0" layoutInCell="1" allowOverlap="1">
                  <wp:simplePos x="0" y="0"/>
                  <wp:positionH relativeFrom="column">
                    <wp:posOffset>3905250</wp:posOffset>
                  </wp:positionH>
                  <wp:positionV relativeFrom="paragraph">
                    <wp:posOffset>-49530</wp:posOffset>
                  </wp:positionV>
                  <wp:extent cx="1132840" cy="1697990"/>
                  <wp:effectExtent l="0" t="0" r="16510" b="10160"/>
                  <wp:wrapNone/>
                  <wp:docPr id="15" name="图片 15" descr="164b084fe8aedf480b0ef2bd4491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b084fe8aedf480b0ef2bd44919c9"/>
                          <pic:cNvPicPr>
                            <a:picLocks noChangeAspect="1"/>
                          </pic:cNvPicPr>
                        </pic:nvPicPr>
                        <pic:blipFill>
                          <a:blip r:embed="rId15"/>
                          <a:stretch>
                            <a:fillRect/>
                          </a:stretch>
                        </pic:blipFill>
                        <pic:spPr>
                          <a:xfrm rot="16200000">
                            <a:off x="0" y="0"/>
                            <a:ext cx="1132840" cy="169799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inline distT="0" distB="0" distL="114300" distR="114300">
                  <wp:extent cx="1327150" cy="1252855"/>
                  <wp:effectExtent l="0" t="0" r="4445" b="6350"/>
                  <wp:docPr id="11" name="图片 11" descr="4e4ac12cb6b07e6d872ba1b1e0c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e4ac12cb6b07e6d872ba1b1e0c9972"/>
                          <pic:cNvPicPr>
                            <a:picLocks noChangeAspect="1"/>
                          </pic:cNvPicPr>
                        </pic:nvPicPr>
                        <pic:blipFill>
                          <a:blip r:embed="rId16"/>
                          <a:stretch>
                            <a:fillRect/>
                          </a:stretch>
                        </pic:blipFill>
                        <pic:spPr>
                          <a:xfrm rot="16200000">
                            <a:off x="0" y="0"/>
                            <a:ext cx="1327150" cy="125285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177290" cy="1355090"/>
                  <wp:effectExtent l="0" t="0" r="16510" b="3810"/>
                  <wp:docPr id="12" name="图片 12" descr="7fd7bd7cfae6516e37551e43f420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fd7bd7cfae6516e37551e43f4201da"/>
                          <pic:cNvPicPr>
                            <a:picLocks noChangeAspect="1"/>
                          </pic:cNvPicPr>
                        </pic:nvPicPr>
                        <pic:blipFill>
                          <a:blip r:embed="rId17"/>
                          <a:stretch>
                            <a:fillRect/>
                          </a:stretch>
                        </pic:blipFill>
                        <pic:spPr>
                          <a:xfrm rot="16200000">
                            <a:off x="0" y="0"/>
                            <a:ext cx="1177290" cy="135509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建立“捡拾物品管理规定：</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“失物招领处”设在办公室，由经理办理接待手续。 </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全体员工在店内捡拾的宾客遗失（忘）物品应立即交所在部门上级领导，并填写《捡拾 物品登记表》然后一并交“失物招领处”。 </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“失物招领处”负责人员要对捡拾物品进行核实并编号，登记，保管。 4</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当客人或代理人前来认领丢失物品时，“失物招领处”负责人员要详细问清客人丢失物 品的时间，地点，位置以及物品特征，确认物品是此客人所丢，在领取时要登记姓名，住址， 单位及电话，并查验证件。 </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5、“失物招领处”对捡拾物品一年以上无人认领交项目经理处理。 </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6、捡拾各种现金（各种外币），交“失物招领处”登记后上交财务。</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有“拾遗登记表”：</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646045" cy="1737360"/>
                  <wp:effectExtent l="0" t="0" r="1905" b="15240"/>
                  <wp:docPr id="16" name="图片 16" descr="1597226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97226097(1)"/>
                          <pic:cNvPicPr>
                            <a:picLocks noChangeAspect="1"/>
                          </pic:cNvPicPr>
                        </pic:nvPicPr>
                        <pic:blipFill>
                          <a:blip r:embed="rId18"/>
                          <a:stretch>
                            <a:fillRect/>
                          </a:stretch>
                        </pic:blipFill>
                        <pic:spPr>
                          <a:xfrm>
                            <a:off x="0" y="0"/>
                            <a:ext cx="2646045" cy="1737360"/>
                          </a:xfrm>
                          <a:prstGeom prst="rect">
                            <a:avLst/>
                          </a:prstGeom>
                        </pic:spPr>
                      </pic:pic>
                    </a:graphicData>
                  </a:graphic>
                </wp:inline>
              </w:drawing>
            </w:r>
          </w:p>
          <w:p>
            <w:pPr>
              <w:numPr>
                <w:ilvl w:val="0"/>
                <w:numId w:val="0"/>
              </w:numPr>
              <w:ind w:leftChars="0"/>
              <w:rPr>
                <w:rFonts w:hint="eastAsia" w:asciiTheme="minorEastAsia" w:hAnsiTheme="minorEastAsia" w:eastAsiaTheme="minorEastAsia" w:cstheme="minorEastAsia"/>
                <w:color w:val="4D4F53"/>
                <w:spacing w:val="15"/>
                <w:sz w:val="21"/>
                <w:szCs w:val="21"/>
                <w:shd w:val="clear" w:color="auto" w:fill="FFFFFF"/>
              </w:rPr>
            </w:pPr>
            <w:r>
              <w:rPr>
                <w:rFonts w:hint="eastAsia" w:asciiTheme="minorEastAsia" w:hAnsiTheme="minorEastAsia" w:eastAsiaTheme="minorEastAsia" w:cstheme="minorEastAsia"/>
                <w:sz w:val="21"/>
                <w:szCs w:val="21"/>
                <w:lang w:val="en-US" w:eastAsia="zh-CN"/>
              </w:rPr>
              <w:t>提供“纠纷应急处理流程”：</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1、车主与管理员发生纠纷</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2、值班主管第一时间到场，了解纠纷原因，安抚车主；做出对事件的评定，属于车主无礼性要求的，讲明原因。属于管理员问题的向车主赔礼道歉。如车主原因执意无礼要求，请求公司客服处理及报警处理。</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3、车主之间因为车位纠纷处理</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4、管理员核实车位信息，及时协调车位。占位车主如执意不予挪车，主管进行车主思想疏导工作，未果将协调报警强制挪车。</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霸道停车：一车占两位，纠纷处理</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出现这种情况，可能是车主没有意识到不妥，也可能是车主车技太烂。及时与车主沟通，指导车主停车。</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车辆出现理赔纠纷</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由项目主管及时查调监控，按照法律法规政策有理的说明理赔事宜.</w:t>
            </w: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提供“停车场收费流程以及收费单”：</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977390" cy="1597025"/>
                  <wp:effectExtent l="0" t="0" r="3810" b="3175"/>
                  <wp:docPr id="17" name="图片 17" descr="1597226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7226341(1)"/>
                          <pic:cNvPicPr>
                            <a:picLocks noChangeAspect="1"/>
                          </pic:cNvPicPr>
                        </pic:nvPicPr>
                        <pic:blipFill>
                          <a:blip r:embed="rId19"/>
                          <a:stretch>
                            <a:fillRect/>
                          </a:stretch>
                        </pic:blipFill>
                        <pic:spPr>
                          <a:xfrm>
                            <a:off x="0" y="0"/>
                            <a:ext cx="1977390" cy="159702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966595" cy="2324735"/>
                  <wp:effectExtent l="0" t="0" r="14605" b="18415"/>
                  <wp:docPr id="18" name="图片 18" descr="6110c1787a78197fe40f9c5b1708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110c1787a78197fe40f9c5b1708d68"/>
                          <pic:cNvPicPr>
                            <a:picLocks noChangeAspect="1"/>
                          </pic:cNvPicPr>
                        </pic:nvPicPr>
                        <pic:blipFill>
                          <a:blip r:embed="rId20"/>
                          <a:stretch>
                            <a:fillRect/>
                          </a:stretch>
                        </pic:blipFill>
                        <pic:spPr>
                          <a:xfrm>
                            <a:off x="0" y="0"/>
                            <a:ext cx="1966595" cy="2324735"/>
                          </a:xfrm>
                          <a:prstGeom prst="rect">
                            <a:avLst/>
                          </a:prstGeom>
                        </pic:spPr>
                      </pic:pic>
                    </a:graphicData>
                  </a:graphic>
                </wp:inline>
              </w:drawing>
            </w:r>
          </w:p>
          <w:p>
            <w:pPr>
              <w:spacing w:before="120" w:line="160" w:lineRule="exact"/>
              <w:jc w:val="left"/>
              <w:rPr>
                <w:rFonts w:hint="eastAsia" w:asciiTheme="minorEastAsia" w:hAnsiTheme="minorEastAsia" w:eastAsiaTheme="minorEastAsia" w:cstheme="minorEastAsia"/>
                <w:sz w:val="21"/>
                <w:szCs w:val="21"/>
                <w:lang w:val="en-US" w:eastAsia="zh-CN"/>
              </w:rPr>
            </w:pPr>
          </w:p>
          <w:p>
            <w:pPr>
              <w:spacing w:before="120" w:line="16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能提供未能提供</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顾客或外部供方的财产</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以及对</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顾客或外部供方的财产</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进行管理的证据。</w:t>
            </w:r>
          </w:p>
        </w:tc>
        <w:tc>
          <w:tcPr>
            <w:tcW w:w="625"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车辆</w:t>
            </w:r>
            <w:r>
              <w:rPr>
                <w:rFonts w:hint="eastAsia" w:asciiTheme="minorEastAsia" w:hAnsiTheme="minorEastAsia" w:eastAsiaTheme="minorEastAsia" w:cstheme="minorEastAsia"/>
                <w:sz w:val="21"/>
                <w:szCs w:val="21"/>
              </w:rPr>
              <w:t>服务的放行</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Q8.6</w:t>
            </w:r>
          </w:p>
        </w:tc>
        <w:tc>
          <w:tcPr>
            <w:tcW w:w="11957" w:type="dxa"/>
            <w:vAlign w:val="top"/>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当车辆按照停车场的规范停车并交付费用后放行。放行的方式是起杆放行。</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不合格输出的控制</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Q8.7</w:t>
            </w:r>
          </w:p>
        </w:tc>
        <w:tc>
          <w:tcPr>
            <w:tcW w:w="11957" w:type="dxa"/>
            <w:vAlign w:val="top"/>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本停车场服务不存在不合格情况，</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顾客满意；</w:t>
            </w:r>
          </w:p>
        </w:tc>
        <w:tc>
          <w:tcPr>
            <w:tcW w:w="900"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Q9.1.2</w:t>
            </w:r>
          </w:p>
        </w:tc>
        <w:tc>
          <w:tcPr>
            <w:tcW w:w="11957" w:type="dxa"/>
            <w:vAlign w:val="top"/>
          </w:tcPr>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作为外部对本公司质量管理运行情况和产品质量的测量，本公司主要采用顾客信息反馈收集汇总的方式，收集信息的方法有进行顾客满意度调查、发放征求意见单和电话回访等。</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于2020 </w:t>
            </w:r>
            <w:r>
              <w:rPr>
                <w:rFonts w:hint="eastAsia" w:asciiTheme="minorEastAsia" w:hAnsiTheme="minorEastAsia" w:eastAsiaTheme="minorEastAsia" w:cstheme="minorEastAsia"/>
                <w:color w:val="auto"/>
                <w:sz w:val="21"/>
                <w:szCs w:val="21"/>
                <w:lang w:val="en-US" w:eastAsia="zh-CN"/>
              </w:rPr>
              <w:t>年</w:t>
            </w:r>
            <w:r>
              <w:rPr>
                <w:rFonts w:hint="eastAsia" w:asciiTheme="minorEastAsia" w:hAnsiTheme="minorEastAsia" w:eastAsiaTheme="minorEastAsia" w:cstheme="minorEastAsia"/>
                <w:color w:val="auto"/>
                <w:sz w:val="21"/>
                <w:szCs w:val="21"/>
                <w:lang w:eastAsia="zh-CN"/>
              </w:rPr>
              <w:t>5</w:t>
            </w:r>
            <w:r>
              <w:rPr>
                <w:rFonts w:hint="eastAsia" w:asciiTheme="minorEastAsia" w:hAnsiTheme="minorEastAsia" w:eastAsiaTheme="minorEastAsia" w:cstheme="minorEastAsia"/>
                <w:color w:val="auto"/>
                <w:sz w:val="21"/>
                <w:szCs w:val="21"/>
                <w:lang w:val="en-US" w:eastAsia="zh-CN"/>
              </w:rPr>
              <w:t>月</w:t>
            </w:r>
            <w:r>
              <w:rPr>
                <w:rFonts w:hint="eastAsia" w:asciiTheme="minorEastAsia" w:hAnsiTheme="minorEastAsia" w:eastAsiaTheme="minorEastAsia" w:cstheme="minorEastAsia"/>
                <w:color w:val="auto"/>
                <w:sz w:val="21"/>
                <w:szCs w:val="21"/>
                <w:lang w:eastAsia="zh-CN"/>
              </w:rPr>
              <w:t>20</w:t>
            </w:r>
            <w:r>
              <w:rPr>
                <w:rFonts w:hint="eastAsia" w:asciiTheme="minorEastAsia" w:hAnsiTheme="minorEastAsia" w:eastAsiaTheme="minorEastAsia" w:cstheme="minorEastAsia"/>
                <w:color w:val="auto"/>
                <w:sz w:val="21"/>
                <w:szCs w:val="21"/>
                <w:lang w:val="en-US" w:eastAsia="zh-CN"/>
              </w:rPr>
              <w:t>日</w:t>
            </w:r>
            <w:r>
              <w:rPr>
                <w:rFonts w:hint="eastAsia" w:asciiTheme="minorEastAsia" w:hAnsiTheme="minorEastAsia" w:eastAsiaTheme="minorEastAsia" w:cstheme="minorEastAsia"/>
                <w:color w:val="auto"/>
                <w:sz w:val="21"/>
                <w:szCs w:val="21"/>
              </w:rPr>
              <w:t>，进行了顾客满意度调查，共</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份《用户满意度调查表》，</w:t>
            </w:r>
            <w:r>
              <w:rPr>
                <w:rFonts w:hint="eastAsia" w:asciiTheme="minorEastAsia" w:hAnsiTheme="minorEastAsia" w:eastAsiaTheme="minorEastAsia" w:cstheme="minorEastAsia"/>
                <w:color w:val="auto"/>
                <w:sz w:val="21"/>
                <w:szCs w:val="21"/>
                <w:lang w:val="en-US" w:eastAsia="zh-CN"/>
              </w:rPr>
              <w:t>顾客为：世贸天成物业服务集团有限公司武汉第一分公司</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北京永升物业服务有限公司、上海永生物业管理有限公司北京分公司、北京亿城物业管理有限公司丰台分公司</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其内容包括：有质量、交付期、服务、包装、价格和运输等，评价为很满意，没有不满意的情况，满意度达到9</w:t>
            </w:r>
            <w:r>
              <w:rPr>
                <w:rFonts w:hint="eastAsia" w:asciiTheme="minorEastAsia" w:hAnsiTheme="minorEastAsia" w:eastAsiaTheme="minorEastAsia" w:cstheme="minorEastAsia"/>
                <w:color w:val="auto"/>
                <w:sz w:val="21"/>
                <w:szCs w:val="21"/>
                <w:lang w:val="en-US" w:eastAsia="zh-CN"/>
              </w:rPr>
              <w:t>8.25</w:t>
            </w:r>
            <w:r>
              <w:rPr>
                <w:rFonts w:hint="eastAsia" w:asciiTheme="minorEastAsia" w:hAnsiTheme="minorEastAsia" w:eastAsiaTheme="minorEastAsia" w:cstheme="minorEastAsia"/>
                <w:color w:val="auto"/>
                <w:sz w:val="21"/>
                <w:szCs w:val="21"/>
              </w:rPr>
              <w:t>%左右。</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在平时与顾客的交流中，如电话、微信交流中，也经常询问顾客对本公司产品的一监或建议。</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纠正措施</w:t>
            </w:r>
          </w:p>
        </w:tc>
        <w:tc>
          <w:tcPr>
            <w:tcW w:w="900" w:type="dxa"/>
          </w:tcPr>
          <w:p>
            <w:pPr>
              <w:snapToGrid w:val="0"/>
              <w:spacing w:line="26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bCs/>
                <w:color w:val="auto"/>
                <w:sz w:val="21"/>
                <w:szCs w:val="21"/>
                <w:lang w:val="en-US" w:eastAsia="zh-CN"/>
              </w:rPr>
              <w:t>10.2</w:t>
            </w:r>
          </w:p>
          <w:p>
            <w:pPr>
              <w:pStyle w:val="2"/>
              <w:rPr>
                <w:rFonts w:hint="eastAsia" w:asciiTheme="minorEastAsia" w:hAnsiTheme="minorEastAsia" w:eastAsiaTheme="minorEastAsia" w:cstheme="minorEastAsia"/>
                <w:color w:val="0000FF"/>
                <w:sz w:val="21"/>
                <w:szCs w:val="21"/>
                <w:lang w:val="en-US" w:eastAsia="zh-CN"/>
              </w:rPr>
            </w:pPr>
          </w:p>
        </w:tc>
        <w:tc>
          <w:tcPr>
            <w:tcW w:w="11957" w:type="dxa"/>
            <w:vAlign w:val="top"/>
          </w:tcPr>
          <w:p>
            <w:pPr>
              <w:snapToGrid w:val="0"/>
              <w:spacing w:line="36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建立了〈改进过程控制程序〉，程序中规定了发现不符合应做出的响应措施，主要是甲方对</w:t>
            </w:r>
            <w:r>
              <w:rPr>
                <w:rFonts w:hint="eastAsia" w:asciiTheme="minorEastAsia" w:hAnsiTheme="minorEastAsia" w:eastAsiaTheme="minorEastAsia" w:cstheme="minorEastAsia"/>
                <w:sz w:val="21"/>
                <w:szCs w:val="21"/>
                <w:lang w:val="en-US" w:eastAsia="zh-CN"/>
              </w:rPr>
              <w:t>服务</w:t>
            </w:r>
            <w:r>
              <w:rPr>
                <w:rFonts w:hint="eastAsia" w:asciiTheme="minorEastAsia" w:hAnsiTheme="minorEastAsia" w:eastAsiaTheme="minorEastAsia" w:cstheme="minorEastAsia"/>
                <w:sz w:val="21"/>
                <w:szCs w:val="21"/>
              </w:rPr>
              <w:t>的投诉抱怨，经询问</w:t>
            </w:r>
            <w:r>
              <w:rPr>
                <w:rFonts w:hint="eastAsia" w:asciiTheme="minorEastAsia" w:hAnsiTheme="minorEastAsia" w:eastAsiaTheme="minorEastAsia" w:cstheme="minorEastAsia"/>
                <w:sz w:val="21"/>
                <w:szCs w:val="21"/>
                <w:lang w:eastAsia="zh-CN"/>
              </w:rPr>
              <w:t>经营管理部经理杜佳</w:t>
            </w:r>
            <w:r>
              <w:rPr>
                <w:rFonts w:hint="eastAsia" w:asciiTheme="minorEastAsia" w:hAnsiTheme="minorEastAsia" w:eastAsiaTheme="minorEastAsia" w:cstheme="minorEastAsia"/>
                <w:sz w:val="21"/>
                <w:szCs w:val="21"/>
              </w:rPr>
              <w:t>，如果发生此类不符合，</w:t>
            </w:r>
            <w:r>
              <w:rPr>
                <w:rFonts w:hint="eastAsia" w:asciiTheme="minorEastAsia" w:hAnsiTheme="minorEastAsia" w:eastAsiaTheme="minorEastAsia" w:cstheme="minorEastAsia"/>
                <w:sz w:val="21"/>
                <w:szCs w:val="21"/>
                <w:lang w:eastAsia="zh-CN"/>
              </w:rPr>
              <w:t>经营管理部</w:t>
            </w:r>
            <w:r>
              <w:rPr>
                <w:rFonts w:hint="eastAsia" w:asciiTheme="minorEastAsia" w:hAnsiTheme="minorEastAsia" w:eastAsiaTheme="minorEastAsia" w:cstheme="minorEastAsia"/>
                <w:sz w:val="21"/>
                <w:szCs w:val="21"/>
              </w:rPr>
              <w:t>会立即与</w:t>
            </w:r>
            <w:r>
              <w:rPr>
                <w:rFonts w:hint="eastAsia" w:asciiTheme="minorEastAsia" w:hAnsiTheme="minorEastAsia" w:eastAsiaTheme="minorEastAsia" w:cstheme="minorEastAsia"/>
                <w:sz w:val="21"/>
                <w:szCs w:val="21"/>
                <w:lang w:val="en-US" w:eastAsia="zh-CN"/>
              </w:rPr>
              <w:t>停车场</w:t>
            </w:r>
            <w:r>
              <w:rPr>
                <w:rFonts w:hint="eastAsia" w:asciiTheme="minorEastAsia" w:hAnsiTheme="minorEastAsia" w:eastAsiaTheme="minorEastAsia" w:cstheme="minorEastAsia"/>
                <w:sz w:val="21"/>
                <w:szCs w:val="21"/>
              </w:rPr>
              <w:t>人员进行联系，查明原因，制订预防措施，经询问，目前尚无甲方人员对此方面的投诉。</w:t>
            </w:r>
          </w:p>
          <w:p>
            <w:pPr>
              <w:snapToGrid w:val="0"/>
              <w:spacing w:line="36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在环境和职业健康安全方面，</w:t>
            </w:r>
            <w:r>
              <w:rPr>
                <w:rFonts w:hint="eastAsia" w:asciiTheme="minorEastAsia" w:hAnsiTheme="minorEastAsia" w:eastAsiaTheme="minorEastAsia" w:cstheme="minorEastAsia"/>
                <w:sz w:val="21"/>
                <w:szCs w:val="21"/>
                <w:lang w:eastAsia="zh-CN"/>
              </w:rPr>
              <w:t>经营管理部</w:t>
            </w:r>
            <w:r>
              <w:rPr>
                <w:rFonts w:hint="eastAsia" w:asciiTheme="minorEastAsia" w:hAnsiTheme="minorEastAsia" w:eastAsiaTheme="minorEastAsia" w:cstheme="minorEastAsia"/>
                <w:sz w:val="21"/>
                <w:szCs w:val="21"/>
              </w:rPr>
              <w:t>建立了环境和职业健康安全检查制度，提供了〈环境和职业健康安全检查表〉，每月对</w:t>
            </w:r>
            <w:r>
              <w:rPr>
                <w:rFonts w:hint="eastAsia" w:asciiTheme="minorEastAsia" w:hAnsiTheme="minorEastAsia" w:eastAsiaTheme="minorEastAsia" w:cstheme="minorEastAsia"/>
                <w:sz w:val="21"/>
                <w:szCs w:val="21"/>
                <w:lang w:val="en-US" w:eastAsia="zh-CN"/>
              </w:rPr>
              <w:t>停车场的</w:t>
            </w:r>
            <w:r>
              <w:rPr>
                <w:rFonts w:hint="eastAsia" w:asciiTheme="minorEastAsia" w:hAnsiTheme="minorEastAsia" w:eastAsiaTheme="minorEastAsia" w:cstheme="minorEastAsia"/>
                <w:sz w:val="21"/>
                <w:szCs w:val="21"/>
              </w:rPr>
              <w:t>环境和职业健康安全进行检查。抽查20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月13日的检查表，检查人：</w:t>
            </w:r>
            <w:r>
              <w:rPr>
                <w:rFonts w:hint="eastAsia" w:asciiTheme="minorEastAsia" w:hAnsiTheme="minorEastAsia" w:eastAsiaTheme="minorEastAsia" w:cstheme="minorEastAsia"/>
                <w:sz w:val="21"/>
                <w:szCs w:val="21"/>
                <w:lang w:eastAsia="zh-CN"/>
              </w:rPr>
              <w:t>杜佳</w:t>
            </w:r>
            <w:r>
              <w:rPr>
                <w:rFonts w:hint="eastAsia" w:asciiTheme="minorEastAsia" w:hAnsiTheme="minorEastAsia" w:eastAsiaTheme="minorEastAsia" w:cstheme="minorEastAsia"/>
                <w:sz w:val="21"/>
                <w:szCs w:val="21"/>
              </w:rPr>
              <w:t>。检查项目共6项：目测</w:t>
            </w:r>
            <w:r>
              <w:rPr>
                <w:rFonts w:hint="eastAsia" w:asciiTheme="minorEastAsia" w:hAnsiTheme="minorEastAsia" w:eastAsiaTheme="minorEastAsia" w:cstheme="minorEastAsia"/>
                <w:sz w:val="21"/>
                <w:szCs w:val="21"/>
                <w:lang w:val="en-US" w:eastAsia="zh-CN"/>
              </w:rPr>
              <w:t>停车场</w:t>
            </w:r>
            <w:r>
              <w:rPr>
                <w:rFonts w:hint="eastAsia" w:asciiTheme="minorEastAsia" w:hAnsiTheme="minorEastAsia" w:eastAsiaTheme="minorEastAsia" w:cstheme="minorEastAsia"/>
                <w:sz w:val="21"/>
                <w:szCs w:val="21"/>
              </w:rPr>
              <w:t>内照明、电线、管线是否有老化破皮现象，</w:t>
            </w:r>
            <w:r>
              <w:rPr>
                <w:rFonts w:hint="eastAsia" w:asciiTheme="minorEastAsia" w:hAnsiTheme="minorEastAsia" w:eastAsiaTheme="minorEastAsia" w:cstheme="minorEastAsia"/>
                <w:sz w:val="21"/>
                <w:szCs w:val="21"/>
                <w:lang w:val="en-US" w:eastAsia="zh-CN"/>
              </w:rPr>
              <w:t>停车场</w:t>
            </w:r>
            <w:r>
              <w:rPr>
                <w:rFonts w:hint="eastAsia" w:asciiTheme="minorEastAsia" w:hAnsiTheme="minorEastAsia" w:eastAsiaTheme="minorEastAsia" w:cstheme="minorEastAsia"/>
                <w:sz w:val="21"/>
                <w:szCs w:val="21"/>
              </w:rPr>
              <w:t>环境是否干净整洁。</w:t>
            </w:r>
            <w:r>
              <w:rPr>
                <w:rFonts w:hint="eastAsia" w:asciiTheme="minorEastAsia" w:hAnsiTheme="minorEastAsia" w:eastAsiaTheme="minorEastAsia" w:cstheme="minorEastAsia"/>
                <w:sz w:val="21"/>
                <w:szCs w:val="21"/>
                <w:lang w:val="en-US" w:eastAsia="zh-CN"/>
              </w:rPr>
              <w:t>拦车杆</w:t>
            </w:r>
            <w:r>
              <w:rPr>
                <w:rFonts w:hint="eastAsia" w:asciiTheme="minorEastAsia" w:hAnsiTheme="minorEastAsia" w:eastAsiaTheme="minorEastAsia" w:cstheme="minorEastAsia"/>
                <w:sz w:val="21"/>
                <w:szCs w:val="21"/>
              </w:rPr>
              <w:t>是否完好。消防器材封存是否完好。</w:t>
            </w:r>
            <w:r>
              <w:rPr>
                <w:rFonts w:hint="eastAsia" w:asciiTheme="minorEastAsia" w:hAnsiTheme="minorEastAsia" w:eastAsiaTheme="minorEastAsia" w:cstheme="minorEastAsia"/>
                <w:sz w:val="21"/>
                <w:szCs w:val="21"/>
                <w:lang w:eastAsia="zh-CN"/>
              </w:rPr>
              <w:t>经营管理部</w:t>
            </w:r>
            <w:r>
              <w:rPr>
                <w:rFonts w:hint="eastAsia" w:asciiTheme="minorEastAsia" w:hAnsiTheme="minorEastAsia" w:eastAsiaTheme="minorEastAsia" w:cstheme="minorEastAsia"/>
                <w:sz w:val="21"/>
                <w:szCs w:val="21"/>
              </w:rPr>
              <w:t>人员是否知道逃生通道，是否对来</w:t>
            </w:r>
            <w:r>
              <w:rPr>
                <w:rFonts w:hint="eastAsia" w:asciiTheme="minorEastAsia" w:hAnsiTheme="minorEastAsia" w:eastAsiaTheme="minorEastAsia" w:cstheme="minorEastAsia"/>
                <w:sz w:val="21"/>
                <w:szCs w:val="21"/>
                <w:lang w:val="en-US" w:eastAsia="zh-CN"/>
              </w:rPr>
              <w:t>来往车辆</w:t>
            </w:r>
            <w:r>
              <w:rPr>
                <w:rFonts w:hint="eastAsia" w:asciiTheme="minorEastAsia" w:hAnsiTheme="minorEastAsia" w:eastAsiaTheme="minorEastAsia" w:cstheme="minorEastAsia"/>
                <w:sz w:val="21"/>
                <w:szCs w:val="21"/>
              </w:rPr>
              <w:t>进行告知等。</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对于内审中发现的不符合项分析问题产生的原因，立即制定纠正措施进行纠正。</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bookmarkStart w:id="0" w:name="_GoBack"/>
            <w:bookmarkEnd w:id="0"/>
          </w:p>
        </w:tc>
      </w:tr>
    </w:tbl>
    <w:p>
      <w:pPr>
        <w:pStyle w:val="6"/>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5"/>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6C5AD8"/>
    <w:multiLevelType w:val="singleLevel"/>
    <w:tmpl w:val="A26C5AD8"/>
    <w:lvl w:ilvl="0" w:tentative="0">
      <w:start w:val="1"/>
      <w:numFmt w:val="decimal"/>
      <w:suff w:val="nothing"/>
      <w:lvlText w:val="%1、"/>
      <w:lvlJc w:val="left"/>
    </w:lvl>
  </w:abstractNum>
  <w:abstractNum w:abstractNumId="1">
    <w:nsid w:val="AE742E61"/>
    <w:multiLevelType w:val="singleLevel"/>
    <w:tmpl w:val="AE742E61"/>
    <w:lvl w:ilvl="0" w:tentative="0">
      <w:start w:val="2"/>
      <w:numFmt w:val="decimal"/>
      <w:suff w:val="nothing"/>
      <w:lvlText w:val="%1、"/>
      <w:lvlJc w:val="left"/>
    </w:lvl>
  </w:abstractNum>
  <w:abstractNum w:abstractNumId="2">
    <w:nsid w:val="F3D4FCAA"/>
    <w:multiLevelType w:val="singleLevel"/>
    <w:tmpl w:val="F3D4FCAA"/>
    <w:lvl w:ilvl="0" w:tentative="0">
      <w:start w:val="1"/>
      <w:numFmt w:val="decimal"/>
      <w:suff w:val="nothing"/>
      <w:lvlText w:val="%1、"/>
      <w:lvlJc w:val="left"/>
      <w:pPr>
        <w:ind w:left="125" w:leftChars="0" w:firstLine="0" w:firstLineChars="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96636F"/>
    <w:rsid w:val="022825FA"/>
    <w:rsid w:val="036A47D2"/>
    <w:rsid w:val="039C7714"/>
    <w:rsid w:val="03D96AE0"/>
    <w:rsid w:val="051627C5"/>
    <w:rsid w:val="05C452EA"/>
    <w:rsid w:val="060966F4"/>
    <w:rsid w:val="09341784"/>
    <w:rsid w:val="0A802ED6"/>
    <w:rsid w:val="0B12490A"/>
    <w:rsid w:val="0BC05367"/>
    <w:rsid w:val="0CF75590"/>
    <w:rsid w:val="0D236E47"/>
    <w:rsid w:val="100D2CEE"/>
    <w:rsid w:val="10BC52B0"/>
    <w:rsid w:val="14F23AD9"/>
    <w:rsid w:val="15564D1B"/>
    <w:rsid w:val="1857723C"/>
    <w:rsid w:val="196850DE"/>
    <w:rsid w:val="1A802E14"/>
    <w:rsid w:val="1AB90925"/>
    <w:rsid w:val="1ADE439B"/>
    <w:rsid w:val="1C6A3D69"/>
    <w:rsid w:val="1E9D20CA"/>
    <w:rsid w:val="205829B9"/>
    <w:rsid w:val="24E03C38"/>
    <w:rsid w:val="272E7B06"/>
    <w:rsid w:val="274C5769"/>
    <w:rsid w:val="29780EA2"/>
    <w:rsid w:val="29CE582E"/>
    <w:rsid w:val="2B6A2495"/>
    <w:rsid w:val="2CCD63D4"/>
    <w:rsid w:val="2E973EF1"/>
    <w:rsid w:val="311300CD"/>
    <w:rsid w:val="327C3259"/>
    <w:rsid w:val="35742A03"/>
    <w:rsid w:val="3693269C"/>
    <w:rsid w:val="37187BB9"/>
    <w:rsid w:val="38176BAA"/>
    <w:rsid w:val="3A570272"/>
    <w:rsid w:val="40384418"/>
    <w:rsid w:val="44EB5918"/>
    <w:rsid w:val="49D34275"/>
    <w:rsid w:val="49D80C11"/>
    <w:rsid w:val="4AF46303"/>
    <w:rsid w:val="4B723030"/>
    <w:rsid w:val="4DD342A5"/>
    <w:rsid w:val="4F6E0A3B"/>
    <w:rsid w:val="4FB816F0"/>
    <w:rsid w:val="518C5430"/>
    <w:rsid w:val="546241A1"/>
    <w:rsid w:val="55043E54"/>
    <w:rsid w:val="55B933CF"/>
    <w:rsid w:val="5697245D"/>
    <w:rsid w:val="57210130"/>
    <w:rsid w:val="597E64C2"/>
    <w:rsid w:val="5BD0174E"/>
    <w:rsid w:val="5DAF487D"/>
    <w:rsid w:val="619E506E"/>
    <w:rsid w:val="624D5E2F"/>
    <w:rsid w:val="62765FD1"/>
    <w:rsid w:val="6318314C"/>
    <w:rsid w:val="647E6EBA"/>
    <w:rsid w:val="64D309B9"/>
    <w:rsid w:val="66E4533F"/>
    <w:rsid w:val="67CC4113"/>
    <w:rsid w:val="6900155C"/>
    <w:rsid w:val="69213EB8"/>
    <w:rsid w:val="697D6C20"/>
    <w:rsid w:val="6B9069F1"/>
    <w:rsid w:val="6CC46D42"/>
    <w:rsid w:val="6D6C43C4"/>
    <w:rsid w:val="70C4271F"/>
    <w:rsid w:val="7A8E55F9"/>
    <w:rsid w:val="7C977376"/>
    <w:rsid w:val="7E516F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adjustRightInd w:val="0"/>
      <w:snapToGrid w:val="0"/>
      <w:spacing w:line="440" w:lineRule="atLeast"/>
    </w:pPr>
    <w:rPr>
      <w:snapToGrid w:val="0"/>
      <w:kern w:val="0"/>
      <w:sz w:val="24"/>
    </w:rPr>
  </w:style>
  <w:style w:type="paragraph" w:styleId="4">
    <w:name w:val="Plain Text"/>
    <w:basedOn w:val="1"/>
    <w:qFormat/>
    <w:uiPriority w:val="0"/>
    <w:rPr>
      <w:rFonts w:ascii="宋体" w:hAnsi="Courier New"/>
      <w:szCs w:val="21"/>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qFormat/>
    <w:uiPriority w:val="0"/>
    <w:rPr>
      <w:i/>
      <w:iCs/>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adjustRightInd w:val="0"/>
      <w:spacing w:line="312" w:lineRule="atLeast"/>
      <w:ind w:firstLine="420" w:firstLineChars="200"/>
      <w:textAlignment w:val="baseline"/>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2</TotalTime>
  <ScaleCrop>false</ScaleCrop>
  <LinksUpToDate>false</LinksUpToDate>
  <CharactersWithSpaces>101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2021-04-14T08:08:26Z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3AEC6269261543578B2C86FF88559364</vt:lpwstr>
  </property>
</Properties>
</file>