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-608965</wp:posOffset>
            </wp:positionH>
            <wp:positionV relativeFrom="paragraph">
              <wp:posOffset>-1023620</wp:posOffset>
            </wp:positionV>
            <wp:extent cx="7202805" cy="9876790"/>
            <wp:effectExtent l="0" t="0" r="10795" b="3810"/>
            <wp:wrapNone/>
            <wp:docPr id="2" name="图片 2" descr="10不符合项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不符合项报告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2805" cy="987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0318-2021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温岭甬岭水表有限公司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品质部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王会贞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9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6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编号：</w:t>
            </w:r>
            <w:r>
              <w:rPr>
                <w:rFonts w:hint="eastAsia"/>
                <w:szCs w:val="21"/>
                <w:lang w:val="en-US" w:eastAsia="zh-CN"/>
              </w:rPr>
              <w:t>8D1746  百分表 经2021年4月7日校准，未进行有效性确认。</w:t>
            </w: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GB/T19022-2013  7.1.1条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480" w:lineRule="auto"/>
              <w:ind w:firstLine="5880" w:firstLineChars="28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7C1F40"/>
    <w:rsid w:val="4C537ABE"/>
    <w:rsid w:val="69CD1A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4</TotalTime>
  <ScaleCrop>false</ScaleCrop>
  <LinksUpToDate>false</LinksUpToDate>
  <CharactersWithSpaces>276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2021-04-17T03:56:56Z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E4B560C065E64E0D9D2E003D1925231C</vt:lpwstr>
  </property>
</Properties>
</file>