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保定市卓泽电气科技有限公司</w:t>
      </w:r>
      <w:bookmarkEnd w:id="0"/>
    </w:p>
    <w:p>
      <w:pPr>
        <w:snapToGrid w:val="0"/>
        <w:spacing w:after="98" w:afterLines="30"/>
        <w:ind w:firstLine="321" w:firstLineChars="10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周文廷</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2019-N1QMS-1244880</w:t>
            </w:r>
          </w:p>
        </w:tc>
        <w:tc>
          <w:tcPr>
            <w:tcW w:w="1728" w:type="dxa"/>
            <w:gridSpan w:val="2"/>
            <w:vAlign w:val="center"/>
          </w:tcPr>
          <w:p>
            <w:pPr>
              <w:jc w:val="center"/>
              <w:rPr>
                <w:b/>
                <w:sz w:val="21"/>
                <w:szCs w:val="21"/>
              </w:rPr>
            </w:pPr>
            <w:r>
              <w:rPr>
                <w:b/>
                <w:sz w:val="21"/>
                <w:szCs w:val="21"/>
              </w:rPr>
              <w:t>14.02.01,15.04.03</w:t>
            </w:r>
          </w:p>
        </w:tc>
        <w:tc>
          <w:tcPr>
            <w:tcW w:w="1729" w:type="dxa"/>
            <w:gridSpan w:val="2"/>
            <w:vAlign w:val="center"/>
          </w:tcPr>
          <w:p>
            <w:pPr>
              <w:jc w:val="center"/>
              <w:rPr>
                <w:b/>
                <w:sz w:val="21"/>
                <w:szCs w:val="21"/>
              </w:rPr>
            </w:pPr>
            <w:r>
              <w:rPr>
                <w:b/>
                <w:sz w:val="21"/>
                <w:szCs w:val="21"/>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赵刚</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保定市金烁源变压器有限公司</w:t>
            </w:r>
          </w:p>
        </w:tc>
        <w:tc>
          <w:tcPr>
            <w:tcW w:w="1728" w:type="dxa"/>
            <w:gridSpan w:val="2"/>
            <w:vAlign w:val="center"/>
          </w:tcPr>
          <w:p>
            <w:pPr>
              <w:jc w:val="center"/>
              <w:rPr>
                <w:b/>
                <w:sz w:val="21"/>
                <w:szCs w:val="21"/>
              </w:rPr>
            </w:pPr>
            <w:r>
              <w:rPr>
                <w:b/>
                <w:sz w:val="21"/>
                <w:szCs w:val="21"/>
              </w:rPr>
              <w:t>19.09.01,19.09.02,19.11.03</w:t>
            </w:r>
          </w:p>
        </w:tc>
        <w:tc>
          <w:tcPr>
            <w:tcW w:w="1729" w:type="dxa"/>
            <w:gridSpan w:val="2"/>
            <w:vAlign w:val="center"/>
          </w:tcPr>
          <w:p>
            <w:pPr>
              <w:jc w:val="center"/>
              <w:rPr>
                <w:b/>
                <w:sz w:val="21"/>
                <w:szCs w:val="21"/>
              </w:rPr>
            </w:pPr>
            <w:r>
              <w:rPr>
                <w:b/>
                <w:sz w:val="21"/>
                <w:szCs w:val="21"/>
              </w:rPr>
              <w:t>ISC-JSZJ-112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rFonts w:hint="eastAsia"/>
          <w:b/>
          <w:sz w:val="21"/>
          <w:szCs w:val="21"/>
        </w:rPr>
      </w:pPr>
      <w:r>
        <w:rPr>
          <w:rFonts w:hint="eastAsia"/>
          <w:b/>
          <w:sz w:val="21"/>
          <w:szCs w:val="21"/>
          <w:lang w:eastAsia="zh-CN"/>
        </w:rPr>
        <w:t>☑</w:t>
      </w:r>
      <w:r>
        <w:rPr>
          <w:rFonts w:hint="eastAsia"/>
          <w:b/>
          <w:sz w:val="21"/>
          <w:szCs w:val="21"/>
        </w:rPr>
        <w:t>受审核方管理体系文件</w:t>
      </w:r>
    </w:p>
    <w:p>
      <w:pPr>
        <w:tabs>
          <w:tab w:val="left" w:pos="645"/>
        </w:tabs>
        <w:rPr>
          <w:rFonts w:hint="eastAsia"/>
          <w:b/>
          <w:sz w:val="21"/>
          <w:szCs w:val="21"/>
        </w:rPr>
      </w:pPr>
      <w:r>
        <w:rPr>
          <w:rFonts w:hint="eastAsia"/>
          <w:b/>
          <w:sz w:val="21"/>
          <w:szCs w:val="21"/>
          <w:lang w:eastAsia="zh-CN"/>
        </w:rPr>
        <w:t>☑</w:t>
      </w:r>
      <w:r>
        <w:rPr>
          <w:rFonts w:hint="eastAsia"/>
          <w:b/>
          <w:sz w:val="21"/>
          <w:szCs w:val="21"/>
        </w:rPr>
        <w:t>适用的法律法规</w:t>
      </w:r>
    </w:p>
    <w:p>
      <w:pPr>
        <w:tabs>
          <w:tab w:val="left" w:pos="645"/>
        </w:tabs>
        <w:rPr>
          <w:b/>
          <w:sz w:val="21"/>
          <w:szCs w:val="21"/>
        </w:rPr>
      </w:pP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7" w:name="组织名称Add"/>
            <w:r>
              <w:rPr>
                <w:rFonts w:ascii="宋体"/>
                <w:b/>
                <w:color w:val="FF0000"/>
                <w:sz w:val="21"/>
              </w:rPr>
              <w:t>保定市卓泽电气科技有限公司</w:t>
            </w:r>
            <w:bookmarkEnd w:id="7"/>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8" w:name="注册地址"/>
            <w:r>
              <w:rPr>
                <w:rFonts w:ascii="宋体"/>
                <w:b/>
                <w:sz w:val="21"/>
              </w:rPr>
              <w:t>保定市天威西路2180号</w:t>
            </w:r>
            <w:bookmarkEnd w:id="8"/>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9" w:name="注册邮编"/>
            <w:r>
              <w:rPr>
                <w:rFonts w:ascii="宋体"/>
                <w:b/>
                <w:sz w:val="21"/>
              </w:rPr>
              <w:t>071000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0" w:name="办公地址"/>
            <w:r>
              <w:rPr>
                <w:rFonts w:ascii="宋体"/>
                <w:b/>
                <w:sz w:val="21"/>
              </w:rPr>
              <w:t>保定市天威西路2180号</w:t>
            </w:r>
            <w:bookmarkEnd w:id="10"/>
          </w:p>
        </w:tc>
        <w:tc>
          <w:tcPr>
            <w:tcW w:w="1672" w:type="dxa"/>
            <w:vMerge w:val="continue"/>
            <w:vAlign w:val="center"/>
          </w:tcPr>
          <w:p>
            <w:pPr>
              <w:jc w:val="center"/>
              <w:rPr>
                <w:rFonts w:ascii="宋体"/>
                <w:b/>
                <w:sz w:val="21"/>
              </w:rPr>
            </w:pPr>
          </w:p>
        </w:tc>
        <w:tc>
          <w:tcPr>
            <w:tcW w:w="1500" w:type="dxa"/>
          </w:tcPr>
          <w:p>
            <w:pPr>
              <w:rPr>
                <w:rFonts w:ascii="宋体"/>
                <w:b/>
                <w:sz w:val="21"/>
              </w:rPr>
            </w:pPr>
            <w:bookmarkStart w:id="11" w:name="办公邮编"/>
            <w:r>
              <w:rPr>
                <w:rFonts w:ascii="宋体"/>
                <w:b/>
                <w:sz w:val="21"/>
              </w:rPr>
              <w:t>071000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2" w:name="生产地址Add"/>
            <w:r>
              <w:rPr>
                <w:rFonts w:ascii="宋体"/>
                <w:b/>
                <w:sz w:val="21"/>
              </w:rPr>
              <w:t>保定市天威西路2180号</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生产邮编"/>
            <w:r>
              <w:rPr>
                <w:rFonts w:ascii="宋体"/>
                <w:b/>
                <w:sz w:val="21"/>
              </w:rPr>
              <w:t>071000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4" w:name="联系人"/>
            <w:r>
              <w:rPr>
                <w:rFonts w:ascii="宋体"/>
                <w:b/>
                <w:sz w:val="21"/>
              </w:rPr>
              <w:t>翁苗苗</w:t>
            </w:r>
            <w:bookmarkEnd w:id="14"/>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5" w:name="联系人电话Add"/>
            <w:r>
              <w:rPr>
                <w:rFonts w:ascii="宋体"/>
                <w:b/>
                <w:sz w:val="21"/>
              </w:rPr>
              <w:t>13731213022</w:t>
            </w:r>
            <w:bookmarkEnd w:id="15"/>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6" w:name="联系人传真"/>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7" w:name="法人"/>
            <w:r>
              <w:rPr>
                <w:rFonts w:ascii="宋体" w:hAnsi="宋体"/>
                <w:b/>
                <w:sz w:val="21"/>
                <w:szCs w:val="21"/>
              </w:rPr>
              <w:t>张轩纬</w:t>
            </w:r>
            <w:bookmarkEnd w:id="17"/>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8" w:name="管理者代表"/>
            <w:r>
              <w:rPr>
                <w:rFonts w:ascii="宋体"/>
                <w:b/>
                <w:sz w:val="21"/>
              </w:rPr>
              <w:t>翁苗苗</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9" w:name="审核日期"/>
            <w:r>
              <w:rPr>
                <w:rFonts w:ascii="宋体" w:hAnsi="宋体"/>
                <w:b/>
                <w:sz w:val="21"/>
                <w:szCs w:val="21"/>
              </w:rPr>
              <w:t>2021年04月14日 上午至2021年04月14日 下午</w:t>
            </w:r>
            <w:bookmarkEnd w:id="19"/>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20" w:name="Q勾选15Add1"/>
            <w:r>
              <w:rPr>
                <w:rFonts w:hint="eastAsia" w:ascii="宋体" w:hAnsi="宋体"/>
                <w:b/>
                <w:sz w:val="21"/>
                <w:szCs w:val="21"/>
              </w:rPr>
              <w:t>■</w:t>
            </w:r>
            <w:bookmarkEnd w:id="20"/>
            <w:r>
              <w:rPr>
                <w:rFonts w:ascii="宋体" w:hAnsi="宋体"/>
                <w:b/>
                <w:sz w:val="21"/>
                <w:szCs w:val="21"/>
              </w:rPr>
              <w:t>QMS</w:t>
            </w:r>
            <w:r>
              <w:rPr>
                <w:rFonts w:hint="eastAsia" w:ascii="宋体" w:hAnsi="宋体"/>
                <w:b/>
                <w:sz w:val="21"/>
                <w:szCs w:val="21"/>
              </w:rPr>
              <w:t>：</w:t>
            </w:r>
            <w:bookmarkStart w:id="21" w:name="QJ勾选Add1"/>
            <w:r>
              <w:rPr>
                <w:rFonts w:hint="eastAsia" w:ascii="楷体" w:hAnsi="楷体" w:eastAsia="楷体"/>
                <w:szCs w:val="21"/>
              </w:rPr>
              <w:t>10-35KV变压器、10KV柱上变压器台成套设备、变压器冷却控制柜、户外高压智能真空断路器（分界开关）、端子箱、绝缘子、复合绝缘横担，电力金具，铁附件  电缆保护管，箱式变压器的生产</w:t>
            </w:r>
          </w:p>
          <w:bookmarkEnd w:id="21"/>
          <w:p>
            <w:pPr>
              <w:spacing w:line="360" w:lineRule="exact"/>
              <w:rPr>
                <w:rFonts w:ascii="宋体" w:hAnsi="宋体"/>
                <w:b/>
                <w:sz w:val="21"/>
                <w:szCs w:val="21"/>
              </w:rPr>
            </w:pP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2" w:name="专业代码"/>
            <w:r>
              <w:rPr>
                <w:rFonts w:ascii="宋体" w:hAnsi="宋体"/>
                <w:b/>
                <w:sz w:val="21"/>
                <w:szCs w:val="21"/>
              </w:rPr>
              <w:t>14.02.01;15.04.03;19.09.01;19.09.02;19.11.03</w:t>
            </w:r>
            <w:bookmarkEnd w:id="22"/>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2023.6</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2020.5.24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楷体" w:hAnsi="楷体" w:eastAsia="楷体"/>
          <w:szCs w:val="21"/>
        </w:rPr>
        <w:t>10-35KV变压器、10KV柱上变压器台成套设备、变压器冷却控制柜、户外高压智能真空断路器（分界开关）、端子箱、绝缘子、复合绝缘横担，电力金具，铁附件  电缆保护管，箱式变压器的生产</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26</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ascii="楷体" w:hAnsi="楷体" w:eastAsia="楷体" w:cs="楷体"/>
                <w:sz w:val="21"/>
                <w:szCs w:val="21"/>
              </w:rPr>
            </w:pPr>
            <w:r>
              <w:rPr>
                <w:rFonts w:hint="eastAsia" w:ascii="楷体" w:hAnsi="楷体" w:eastAsia="楷体" w:cs="楷体"/>
                <w:sz w:val="21"/>
                <w:szCs w:val="21"/>
              </w:rPr>
              <w:t>对国际、国内、地区和当地的各种法律法规、技术、竞争、市场、文化、社会和经济因素等进行了识别；编制了环境因素列表，具体如下：</w:t>
            </w:r>
          </w:p>
          <w:p>
            <w:pPr>
              <w:spacing w:line="240" w:lineRule="exact"/>
              <w:rPr>
                <w:rFonts w:hint="eastAsia" w:ascii="楷体" w:hAnsi="楷体" w:eastAsia="楷体" w:cs="楷体"/>
                <w:sz w:val="21"/>
                <w:szCs w:val="21"/>
              </w:rPr>
            </w:pPr>
            <w:r>
              <w:rPr>
                <w:rFonts w:hint="eastAsia" w:ascii="楷体" w:hAnsi="楷体" w:eastAsia="楷体" w:cs="楷体"/>
                <w:sz w:val="21"/>
                <w:szCs w:val="21"/>
              </w:rPr>
              <w:t>内部条件：公司的价值观、产品和服务、战略方向、文化与能力；</w:t>
            </w:r>
          </w:p>
          <w:p>
            <w:pPr>
              <w:spacing w:line="240" w:lineRule="exact"/>
              <w:rPr>
                <w:rFonts w:hint="eastAsia" w:ascii="楷体" w:hAnsi="楷体" w:eastAsia="楷体" w:cs="楷体"/>
                <w:sz w:val="21"/>
                <w:szCs w:val="21"/>
              </w:rPr>
            </w:pPr>
            <w:r>
              <w:rPr>
                <w:rFonts w:hint="eastAsia" w:ascii="楷体" w:hAnsi="楷体" w:eastAsia="楷体" w:cs="楷体"/>
                <w:sz w:val="21"/>
                <w:szCs w:val="21"/>
              </w:rPr>
              <w:t>外部环境：法律法规、社会文化、政治、技术、竞争力、水平气候、空气和水质量、资源的可获得性等相关因素；</w:t>
            </w:r>
          </w:p>
          <w:p>
            <w:pPr>
              <w:spacing w:line="240" w:lineRule="exact"/>
              <w:rPr>
                <w:rFonts w:hint="eastAsia" w:ascii="楷体" w:hAnsi="楷体" w:eastAsia="楷体" w:cs="楷体"/>
                <w:sz w:val="21"/>
                <w:szCs w:val="21"/>
              </w:rPr>
            </w:pPr>
            <w:r>
              <w:rPr>
                <w:rFonts w:hint="eastAsia" w:ascii="楷体" w:hAnsi="楷体" w:eastAsia="楷体" w:cs="楷体"/>
                <w:sz w:val="21"/>
                <w:szCs w:val="21"/>
              </w:rPr>
              <w:t>对这些内外部因素进行了SWOT分析并制定了应对措施和监视方法（一年一次）</w:t>
            </w:r>
          </w:p>
          <w:p>
            <w:pPr>
              <w:spacing w:line="240" w:lineRule="exact"/>
              <w:rPr>
                <w:rFonts w:ascii="宋体" w:hAnsi="宋体"/>
                <w:b/>
                <w:sz w:val="21"/>
                <w:szCs w:val="21"/>
              </w:rPr>
            </w:pPr>
            <w:r>
              <w:rPr>
                <w:rFonts w:hint="eastAsia" w:ascii="楷体" w:hAnsi="楷体" w:eastAsia="楷体" w:cs="楷体"/>
                <w:sz w:val="21"/>
                <w:szCs w:val="21"/>
              </w:rPr>
              <w:t>通过定期的网站获取、顾客沟通、及定期内部总结等方式进行监视和评审。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rFonts w:hint="eastAsia"/>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widowControl/>
              <w:rPr>
                <w:rFonts w:hint="eastAsia" w:ascii="楷体" w:hAnsi="楷体" w:eastAsia="楷体" w:cs="楷体"/>
                <w:color w:val="000000"/>
                <w:sz w:val="21"/>
                <w:szCs w:val="21"/>
              </w:rPr>
            </w:pPr>
            <w:r>
              <w:rPr>
                <w:rFonts w:hint="eastAsia" w:ascii="楷体" w:hAnsi="楷体" w:eastAsia="楷体" w:cs="楷体"/>
                <w:color w:val="000000"/>
                <w:sz w:val="21"/>
                <w:szCs w:val="21"/>
              </w:rPr>
              <w:sym w:font="Wingdings 2" w:char="F098"/>
            </w:r>
            <w:r>
              <w:rPr>
                <w:rFonts w:hint="eastAsia" w:ascii="楷体" w:hAnsi="楷体" w:eastAsia="楷体" w:cs="楷体"/>
                <w:color w:val="000000"/>
                <w:sz w:val="21"/>
                <w:szCs w:val="21"/>
              </w:rPr>
              <w:t>公司确定了与质量管理体系有关的相关方包括顾客、材料供应商、外包方、原材料供应商、工商行政管理部门、计量和安全管理部门、科技局、财政局、物流服务企业、第三方检测机构、海关等。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相关方对企业的要求有：遵守国家的现行法律法规、遵守国际惯例、保持有效的资质、产品不断更行换代、生产的产品节能环保，对环境无重大污染、量具定期检定、不断提高技术水平以及不断提高客户满意度等。</w:t>
            </w:r>
          </w:p>
          <w:p>
            <w:pPr>
              <w:spacing w:line="240" w:lineRule="exact"/>
              <w:rPr>
                <w:rFonts w:ascii="宋体" w:hAnsi="宋体"/>
                <w:b/>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对这些相关方监视和评审的方法有：动态的获取相关方的需求、期望，通过对比、评价等方法对相关方的需求和期望监视评审，以确定质量管理体系、产品设计生产服务相应的调整变更应对措施等。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F0A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rPr>
                <w:rFonts w:ascii="楷体" w:hAnsi="楷体" w:eastAsia="楷体"/>
                <w:b/>
                <w:szCs w:val="21"/>
              </w:rPr>
            </w:pPr>
            <w:r>
              <w:rPr>
                <w:rFonts w:hint="eastAsia" w:ascii="宋体" w:hAnsi="宋体" w:eastAsia="宋体" w:cs="宋体"/>
                <w:szCs w:val="21"/>
              </w:rPr>
              <w:t>●</w:t>
            </w:r>
            <w:r>
              <w:rPr>
                <w:rFonts w:hint="eastAsia" w:ascii="楷体" w:hAnsi="楷体" w:eastAsia="楷体"/>
                <w:szCs w:val="21"/>
              </w:rPr>
              <w:t>质量方针：</w:t>
            </w:r>
            <w:r>
              <w:rPr>
                <w:rFonts w:hint="eastAsia" w:ascii="楷体" w:hAnsi="楷体" w:eastAsia="楷体"/>
                <w:b/>
                <w:szCs w:val="21"/>
              </w:rPr>
              <w:t>顾客第一，优质服务，持续改进，顾客满意。</w:t>
            </w:r>
          </w:p>
          <w:p>
            <w:pPr>
              <w:spacing w:line="240" w:lineRule="exact"/>
              <w:rPr>
                <w:rFonts w:ascii="宋体" w:hAnsi="宋体"/>
                <w:b/>
                <w:sz w:val="21"/>
                <w:szCs w:val="21"/>
              </w:rPr>
            </w:pPr>
            <w:r>
              <w:rPr>
                <w:rFonts w:hint="eastAsia" w:ascii="宋体" w:hAnsi="宋体" w:eastAsia="宋体" w:cs="宋体"/>
                <w:szCs w:val="21"/>
              </w:rPr>
              <w:t>●</w:t>
            </w:r>
            <w:r>
              <w:rPr>
                <w:rFonts w:hint="eastAsia" w:ascii="楷体" w:hAnsi="楷体" w:eastAsia="楷体"/>
                <w:szCs w:val="21"/>
              </w:rPr>
              <w:t>方针与企业的经营宗旨相适应，协调一致；通过会议传达，沟通，让全体员工理解执行。并定期进行评审（一般一年一次）。</w:t>
            </w:r>
            <w:r>
              <w:rPr>
                <w:rFonts w:hint="eastAsia" w:ascii="楷体" w:hAnsi="楷体" w:eastAsia="楷体"/>
                <w:szCs w:val="21"/>
                <w:lang w:val="en-US" w:eastAsia="zh-CN"/>
              </w:rPr>
              <w:t>经2020年度的管理评审，企业的质量方针适宜。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rFonts w:hint="eastAsia"/>
                <w:b/>
                <w:color w:val="000000" w:themeColor="text1"/>
              </w:rPr>
            </w:pPr>
            <w:r>
              <w:rPr>
                <w:b/>
                <w:color w:val="000000" w:themeColor="text1"/>
              </w:rPr>
              <w:t>4、</w:t>
            </w:r>
            <w:r>
              <w:rPr>
                <w:rFonts w:hint="eastAsia"/>
                <w:b/>
                <w:color w:val="000000" w:themeColor="text1"/>
              </w:rPr>
              <w:t>风险识别与控制策划（QMS）</w:t>
            </w:r>
          </w:p>
          <w:p>
            <w:pPr>
              <w:rPr>
                <w:rFonts w:ascii="楷体" w:hAnsi="楷体" w:eastAsia="楷体" w:cs="宋体"/>
                <w:szCs w:val="21"/>
              </w:rPr>
            </w:pPr>
            <w:r>
              <w:rPr>
                <w:rFonts w:hint="eastAsia" w:ascii="楷体" w:hAnsi="楷体" w:eastAsia="楷体" w:cs="宋体"/>
                <w:szCs w:val="21"/>
              </w:rPr>
              <w:sym w:font="Wingdings 2" w:char="F098"/>
            </w:r>
            <w:r>
              <w:rPr>
                <w:rFonts w:hint="eastAsia" w:ascii="楷体" w:hAnsi="楷体" w:eastAsia="楷体" w:cs="宋体"/>
                <w:szCs w:val="21"/>
              </w:rPr>
              <w:t>查《风险管理控制程序》规定风险的识别、分析、评价和控制的过程和方法，以保证风险管理的有效性，从而确保管理体系能够实现其期望的结果；增强有利影响；避免或减少不利影响；实现改进。</w:t>
            </w:r>
          </w:p>
          <w:p>
            <w:pPr>
              <w:rPr>
                <w:rFonts w:ascii="楷体" w:hAnsi="楷体" w:eastAsia="楷体"/>
                <w:szCs w:val="21"/>
              </w:rPr>
            </w:pPr>
            <w:r>
              <w:rPr>
                <w:rFonts w:hint="eastAsia" w:ascii="楷体" w:hAnsi="楷体" w:eastAsia="楷体" w:cs="宋体"/>
                <w:szCs w:val="21"/>
              </w:rPr>
              <w:sym w:font="Wingdings 2" w:char="F098"/>
            </w:r>
            <w:r>
              <w:rPr>
                <w:rFonts w:hint="eastAsia" w:ascii="楷体" w:hAnsi="楷体" w:eastAsia="楷体" w:cs="宋体"/>
                <w:szCs w:val="21"/>
              </w:rPr>
              <w:t>张经理</w:t>
            </w:r>
            <w:r>
              <w:rPr>
                <w:rFonts w:hint="eastAsia" w:ascii="楷体" w:hAnsi="楷体" w:eastAsia="楷体"/>
                <w:szCs w:val="21"/>
              </w:rPr>
              <w:t>介绍：在策划管理体系时，领导层考虑了公司运行标准所处的环境，包括上述4.1识别的内外部环境。手册里有对风险和机遇应对控制的要求。</w:t>
            </w:r>
          </w:p>
          <w:p>
            <w:pPr>
              <w:rPr>
                <w:rFonts w:ascii="楷体" w:hAnsi="楷体" w:eastAsia="楷体" w:cs="宋体"/>
                <w:szCs w:val="21"/>
              </w:rPr>
            </w:pPr>
            <w:r>
              <w:rPr>
                <w:rFonts w:hint="eastAsia" w:ascii="楷体" w:hAnsi="楷体" w:eastAsia="楷体" w:cs="宋体"/>
                <w:szCs w:val="21"/>
              </w:rPr>
              <w:sym w:font="Wingdings 2" w:char="F098"/>
            </w:r>
            <w:r>
              <w:rPr>
                <w:rFonts w:hint="eastAsia" w:ascii="楷体" w:hAnsi="楷体" w:eastAsia="楷体" w:cs="宋体"/>
                <w:szCs w:val="21"/>
              </w:rPr>
              <w:t>公司面临的风险和机遇主要是：国内经济转型升级、国内建材市场波动，疫情和政治因素导致的市场低迷，回款困难，原辅材料涨价，人工成本增加，客户要求提高，以及行业良莠不齐、不良竞争、成本增加等严重影响行业发展。</w:t>
            </w:r>
          </w:p>
          <w:p>
            <w:pPr>
              <w:rPr>
                <w:rFonts w:ascii="楷体" w:hAnsi="楷体" w:eastAsia="楷体" w:cs="宋体"/>
                <w:szCs w:val="21"/>
              </w:rPr>
            </w:pPr>
            <w:r>
              <w:rPr>
                <w:rFonts w:hint="eastAsia" w:ascii="楷体" w:hAnsi="楷体" w:eastAsia="楷体" w:cs="宋体"/>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rPr>
                <w:rFonts w:ascii="楷体" w:hAnsi="楷体" w:eastAsia="楷体" w:cs="宋体"/>
                <w:szCs w:val="21"/>
                <w:highlight w:val="yellow"/>
              </w:rPr>
            </w:pPr>
            <w:r>
              <w:rPr>
                <w:rFonts w:hint="eastAsia" w:ascii="楷体" w:hAnsi="楷体" w:eastAsia="楷体" w:cs="宋体"/>
                <w:szCs w:val="21"/>
              </w:rPr>
              <w:sym w:font="Wingdings 2" w:char="F098"/>
            </w:r>
            <w:r>
              <w:rPr>
                <w:rFonts w:hint="eastAsia" w:ascii="楷体" w:hAnsi="楷体" w:eastAsia="楷体" w:cs="宋体"/>
                <w:szCs w:val="21"/>
              </w:rPr>
              <w:t>张经理简单介绍了公司为了应对现阶段的风险和机遇所采取措施等，记录如下：</w:t>
            </w:r>
          </w:p>
          <w:p>
            <w:pPr>
              <w:rPr>
                <w:rFonts w:ascii="楷体" w:hAnsi="楷体" w:eastAsia="楷体" w:cs="宋体"/>
                <w:szCs w:val="21"/>
              </w:rPr>
            </w:pPr>
            <w:r>
              <w:rPr>
                <w:rFonts w:hint="eastAsia" w:ascii="楷体" w:hAnsi="楷体" w:eastAsia="楷体" w:cs="宋体"/>
                <w:szCs w:val="21"/>
              </w:rPr>
              <w:t>1、严把工程质量关，加强与顾客的沟通联系，以稳定现有的市场份额；</w:t>
            </w:r>
          </w:p>
          <w:p>
            <w:pPr>
              <w:rPr>
                <w:rFonts w:ascii="楷体" w:hAnsi="楷体" w:eastAsia="楷体" w:cs="宋体"/>
                <w:szCs w:val="21"/>
              </w:rPr>
            </w:pPr>
            <w:r>
              <w:rPr>
                <w:rFonts w:hint="eastAsia" w:ascii="楷体" w:hAnsi="楷体" w:eastAsia="楷体" w:cs="宋体"/>
                <w:szCs w:val="21"/>
              </w:rPr>
              <w:t>2、加强与材料供应商的联系，建立长期合作关系，及时掌握材料价格信息，以降低公司采购成本；</w:t>
            </w:r>
          </w:p>
          <w:p>
            <w:pPr>
              <w:rPr>
                <w:rFonts w:ascii="楷体" w:hAnsi="楷体" w:eastAsia="楷体" w:cs="宋体"/>
                <w:szCs w:val="21"/>
              </w:rPr>
            </w:pPr>
            <w:r>
              <w:rPr>
                <w:rFonts w:hint="eastAsia" w:ascii="楷体" w:hAnsi="楷体" w:eastAsia="楷体" w:cs="宋体"/>
                <w:szCs w:val="21"/>
              </w:rPr>
              <w:t>……</w:t>
            </w:r>
          </w:p>
          <w:p>
            <w:pPr>
              <w:spacing w:line="240" w:lineRule="exact"/>
              <w:rPr>
                <w:rFonts w:ascii="宋体" w:hAnsi="宋体"/>
                <w:b/>
                <w:sz w:val="21"/>
                <w:szCs w:val="21"/>
              </w:rPr>
            </w:pPr>
            <w:r>
              <w:rPr>
                <w:rFonts w:hint="eastAsia" w:ascii="楷体" w:hAnsi="楷体" w:eastAsia="楷体" w:cs="宋体"/>
                <w:szCs w:val="21"/>
              </w:rPr>
              <w:sym w:font="Wingdings 2" w:char="F098"/>
            </w:r>
            <w:r>
              <w:rPr>
                <w:rFonts w:hint="eastAsia" w:ascii="楷体" w:hAnsi="楷体" w:eastAsia="楷体" w:cs="宋体"/>
                <w:szCs w:val="21"/>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40" w:lineRule="exact"/>
              <w:ind w:left="201" w:hanging="201" w:hangingChars="100"/>
              <w:rPr>
                <w:rFonts w:ascii="宋体" w:hAnsi="宋体"/>
                <w:b/>
                <w:color w:val="000000"/>
                <w:sz w:val="20"/>
                <w:szCs w:val="20"/>
                <w:u w:val="single"/>
              </w:rPr>
            </w:pPr>
            <w:r>
              <w:rPr>
                <w:rFonts w:hint="eastAsia" w:ascii="宋体" w:hAnsi="宋体"/>
                <w:b/>
                <w:color w:val="000000" w:themeColor="text1"/>
                <w:sz w:val="20"/>
                <w:szCs w:val="20"/>
              </w:rPr>
              <w:t>质量管理体系过程有：</w:t>
            </w:r>
            <w:r>
              <w:rPr>
                <w:rFonts w:hint="eastAsia" w:ascii="宋体" w:hAnsi="宋体"/>
                <w:b/>
                <w:color w:val="000000"/>
                <w:sz w:val="20"/>
                <w:szCs w:val="20"/>
                <w:u w:val="single"/>
              </w:rPr>
              <w:t>生产和服务提供过程；产品和服务的放行；销售过程；外部提供产品、服务和过程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color w:val="000000"/>
                <w:sz w:val="20"/>
                <w:szCs w:val="20"/>
              </w:rPr>
              <w:t>变压器：高低压线圈绕制，绝缘子：烧制、成型，柱上断路器：特性测试，</w:t>
            </w:r>
            <w:r>
              <w:rPr>
                <w:rFonts w:hint="eastAsia" w:ascii="宋体" w:hAnsi="宋体" w:cs="宋体"/>
                <w:bCs/>
                <w:kern w:val="0"/>
                <w:sz w:val="20"/>
                <w:szCs w:val="20"/>
              </w:rPr>
              <w:t>端子箱/风冷控制柜:调试检验，绝缘横担：检验</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color w:val="000000"/>
                <w:sz w:val="20"/>
                <w:szCs w:val="20"/>
              </w:rPr>
              <w:t>高低压线圈绕制</w:t>
            </w:r>
          </w:p>
          <w:p>
            <w:pPr>
              <w:tabs>
                <w:tab w:val="left" w:pos="540"/>
              </w:tabs>
              <w:spacing w:line="300" w:lineRule="exact"/>
              <w:ind w:left="201" w:leftChars="0" w:hanging="201" w:hangingChars="100"/>
              <w:rPr>
                <w:rFonts w:ascii="宋体" w:hAnsi="宋体"/>
                <w:b/>
                <w:sz w:val="21"/>
                <w:szCs w:val="21"/>
              </w:rPr>
            </w:pPr>
            <w:r>
              <w:rPr>
                <w:b/>
                <w:color w:val="000000" w:themeColor="text1"/>
                <w:sz w:val="20"/>
                <w:szCs w:val="20"/>
              </w:rPr>
              <w:pict>
                <v:shape id="_x0000_s2053" o:spid="_x0000_s2053"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4" o:spid="_x0000_s2054"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sz w:val="20"/>
                <w:szCs w:val="20"/>
                <w:u w:val="single"/>
              </w:rPr>
              <w:t>不适用条款：GB/T19001-2016标准的8.3条款。</w:t>
            </w:r>
            <w:r>
              <w:rPr>
                <w:rFonts w:hint="eastAsia" w:ascii="宋体" w:hAnsi="宋体"/>
                <w:sz w:val="20"/>
                <w:szCs w:val="20"/>
                <w:u w:val="single"/>
              </w:rPr>
              <w:t>公司目前所生产产品依据客户要求、国家标准、行业规范生产检验，工艺成熟，技术稳定。本企业确保不因删减影响本企业提供满足顾客和适用的法规要求的产品的能力，也不免除本企业相关责任。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培训</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企业质量目标</w:t>
            </w:r>
            <w:r>
              <w:rPr>
                <w:rFonts w:hint="eastAsia" w:ascii="楷体" w:hAnsi="楷体" w:eastAsia="楷体"/>
                <w:szCs w:val="21"/>
                <w:lang w:val="en-US" w:eastAsia="zh-CN"/>
              </w:rPr>
              <w:t>(2021年度)</w:t>
            </w:r>
            <w:r>
              <w:rPr>
                <w:rFonts w:hint="eastAsia" w:ascii="楷体" w:hAnsi="楷体" w:eastAsia="楷体"/>
                <w:szCs w:val="21"/>
              </w:rPr>
              <w:t xml:space="preserve">：                              </w:t>
            </w:r>
          </w:p>
          <w:p>
            <w:pPr>
              <w:spacing w:line="400" w:lineRule="exact"/>
              <w:rPr>
                <w:rFonts w:ascii="楷体" w:hAnsi="楷体" w:eastAsia="楷体"/>
                <w:b/>
                <w:szCs w:val="21"/>
              </w:rPr>
            </w:pPr>
            <w:r>
              <w:rPr>
                <w:rFonts w:hint="eastAsia" w:ascii="楷体" w:hAnsi="楷体" w:eastAsia="楷体"/>
                <w:b/>
                <w:szCs w:val="21"/>
              </w:rPr>
              <w:t>1、一次性交验合格率≥95%；</w:t>
            </w:r>
          </w:p>
          <w:p>
            <w:pPr>
              <w:topLinePunct/>
              <w:spacing w:line="560" w:lineRule="exact"/>
              <w:rPr>
                <w:rFonts w:ascii="楷体" w:hAnsi="楷体" w:eastAsia="楷体"/>
                <w:bCs/>
                <w:szCs w:val="21"/>
              </w:rPr>
            </w:pPr>
            <w:r>
              <w:rPr>
                <w:rFonts w:hint="eastAsia" w:ascii="楷体" w:hAnsi="楷体" w:eastAsia="楷体"/>
                <w:b/>
                <w:szCs w:val="21"/>
              </w:rPr>
              <w:t>2、顾客满意度≥95%；</w:t>
            </w:r>
          </w:p>
          <w:p>
            <w:pPr>
              <w:spacing w:line="400" w:lineRule="exact"/>
              <w:rPr>
                <w:rFonts w:ascii="楷体" w:hAnsi="楷体" w:eastAsia="楷体"/>
                <w:b/>
                <w:szCs w:val="21"/>
              </w:rPr>
            </w:pPr>
            <w:r>
              <w:rPr>
                <w:rFonts w:hint="eastAsia" w:ascii="宋体" w:hAnsi="宋体" w:eastAsia="宋体" w:cs="宋体"/>
                <w:szCs w:val="21"/>
              </w:rPr>
              <w:t>●</w:t>
            </w:r>
            <w:r>
              <w:rPr>
                <w:rFonts w:hint="eastAsia" w:ascii="楷体" w:hAnsi="楷体" w:eastAsia="楷体"/>
                <w:szCs w:val="21"/>
              </w:rPr>
              <w:t>质量目标满足产品要求（国家标准及客户要求）；</w:t>
            </w:r>
          </w:p>
          <w:p>
            <w:pPr>
              <w:rPr>
                <w:rFonts w:ascii="楷体" w:hAnsi="楷体" w:eastAsia="楷体"/>
                <w:szCs w:val="21"/>
                <w:highlight w:val="yellow"/>
              </w:rPr>
            </w:pPr>
            <w:r>
              <w:rPr>
                <w:rFonts w:hint="eastAsia" w:ascii="宋体" w:hAnsi="宋体" w:eastAsia="宋体" w:cs="宋体"/>
                <w:szCs w:val="21"/>
              </w:rPr>
              <w:t>●</w:t>
            </w:r>
            <w:r>
              <w:rPr>
                <w:rFonts w:hint="eastAsia" w:ascii="楷体" w:hAnsi="楷体" w:eastAsia="楷体"/>
                <w:szCs w:val="21"/>
              </w:rPr>
              <w:t>质量目标进行层层分解，落实到责任部门，每季度末考核。</w:t>
            </w:r>
          </w:p>
          <w:p>
            <w:pPr>
              <w:rPr>
                <w:rFonts w:ascii="楷体" w:hAnsi="楷体" w:eastAsia="楷体"/>
                <w:szCs w:val="21"/>
              </w:rPr>
            </w:pPr>
            <w:r>
              <w:rPr>
                <w:rFonts w:hint="eastAsia" w:ascii="楷体" w:hAnsi="楷体" w:eastAsia="楷体"/>
                <w:szCs w:val="21"/>
              </w:rPr>
              <w:t>--查202</w:t>
            </w:r>
            <w:r>
              <w:rPr>
                <w:rFonts w:hint="eastAsia" w:ascii="楷体" w:hAnsi="楷体" w:eastAsia="楷体"/>
                <w:szCs w:val="21"/>
                <w:lang w:val="en-US" w:eastAsia="zh-CN"/>
              </w:rPr>
              <w:t>1</w:t>
            </w:r>
            <w:r>
              <w:rPr>
                <w:rFonts w:hint="eastAsia" w:ascii="楷体" w:hAnsi="楷体" w:eastAsia="楷体"/>
                <w:szCs w:val="21"/>
              </w:rPr>
              <w:t>年度</w:t>
            </w:r>
            <w:r>
              <w:rPr>
                <w:rFonts w:hint="eastAsia" w:ascii="楷体" w:hAnsi="楷体" w:eastAsia="楷体"/>
                <w:szCs w:val="21"/>
                <w:lang w:val="en-US" w:eastAsia="zh-CN"/>
              </w:rPr>
              <w:t>1</w:t>
            </w:r>
            <w:r>
              <w:rPr>
                <w:rFonts w:hint="eastAsia" w:ascii="楷体" w:hAnsi="楷体" w:eastAsia="楷体"/>
                <w:szCs w:val="21"/>
              </w:rPr>
              <w:t>季度考核情况：考核日期：202</w:t>
            </w:r>
            <w:r>
              <w:rPr>
                <w:rFonts w:hint="eastAsia" w:ascii="楷体" w:hAnsi="楷体" w:eastAsia="楷体"/>
                <w:szCs w:val="21"/>
                <w:lang w:val="en-US" w:eastAsia="zh-CN"/>
              </w:rPr>
              <w:t>1.4.6</w:t>
            </w:r>
            <w:r>
              <w:rPr>
                <w:rFonts w:hint="eastAsia" w:ascii="楷体" w:hAnsi="楷体" w:eastAsia="楷体"/>
                <w:szCs w:val="21"/>
              </w:rPr>
              <w:t xml:space="preserve">  考核人：翁苗苗</w:t>
            </w:r>
          </w:p>
          <w:p>
            <w:pPr>
              <w:rPr>
                <w:rFonts w:ascii="楷体" w:hAnsi="楷体" w:eastAsia="楷体"/>
                <w:b/>
                <w:szCs w:val="21"/>
              </w:rPr>
            </w:pPr>
            <w:r>
              <w:rPr>
                <w:rFonts w:hint="eastAsia" w:ascii="楷体" w:hAnsi="楷体" w:eastAsia="楷体"/>
                <w:b/>
                <w:szCs w:val="21"/>
              </w:rPr>
              <w:t>1、一次性交验合格率≥100%；</w:t>
            </w:r>
          </w:p>
          <w:p>
            <w:pPr>
              <w:topLinePunct/>
              <w:rPr>
                <w:rFonts w:ascii="楷体" w:hAnsi="楷体" w:eastAsia="楷体"/>
                <w:bCs/>
                <w:szCs w:val="21"/>
              </w:rPr>
            </w:pPr>
            <w:r>
              <w:rPr>
                <w:rFonts w:hint="eastAsia" w:ascii="楷体" w:hAnsi="楷体" w:eastAsia="楷体"/>
                <w:b/>
                <w:szCs w:val="21"/>
              </w:rPr>
              <w:t>2、顾客满意度≥97%；</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sz w:val="21"/>
                <w:szCs w:val="21"/>
              </w:rPr>
            </w:pPr>
            <w:r>
              <w:rPr>
                <w:rFonts w:hint="eastAsia" w:ascii="楷体" w:hAnsi="楷体" w:eastAsia="楷体" w:cs="楷体"/>
                <w:sz w:val="24"/>
                <w:szCs w:val="24"/>
              </w:rPr>
              <w:t>管理体系文件由行政部组织编写，总经理批准发布实施，行政部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行政部根据管理体系要求设计了空白表格，按照需求发放，由使用人员填写记录并保存，行政部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sz w:val="21"/>
                <w:szCs w:val="21"/>
              </w:rPr>
            </w:pPr>
            <w:r>
              <w:rPr>
                <w:rFonts w:hint="eastAsia" w:ascii="楷体" w:hAnsi="楷体" w:eastAsia="楷体" w:cs="楷体"/>
                <w:sz w:val="24"/>
                <w:szCs w:val="24"/>
              </w:rPr>
              <w:t>企业目前在职员工30人，包括管理人员6人、业务人员、生产人员等，职工队伍相对稳定，均在相关企业工作近6年，实践经验丰富。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ascii="楷体" w:hAnsi="楷体" w:eastAsia="楷体"/>
                <w:szCs w:val="21"/>
              </w:rPr>
            </w:pPr>
            <w:r>
              <w:rPr>
                <w:rFonts w:hint="eastAsia" w:ascii="楷体" w:hAnsi="楷体" w:eastAsia="楷体"/>
                <w:szCs w:val="21"/>
              </w:rPr>
              <w:t>2、基础设施：</w:t>
            </w:r>
          </w:p>
          <w:p>
            <w:pPr>
              <w:rPr>
                <w:rFonts w:ascii="楷体" w:hAnsi="楷体" w:eastAsia="楷体"/>
                <w:szCs w:val="21"/>
              </w:rPr>
            </w:pPr>
            <w:r>
              <w:rPr>
                <w:rFonts w:hint="eastAsia" w:ascii="楷体" w:hAnsi="楷体" w:eastAsia="楷体"/>
                <w:szCs w:val="21"/>
              </w:rPr>
              <w:t xml:space="preserve">a)建筑物、工作场所和相关的设施：例如生产技术部、工房、库房和相关的水、电、气源及保障工作环境的设备（如空调机）； </w:t>
            </w:r>
          </w:p>
          <w:p>
            <w:pPr>
              <w:rPr>
                <w:rFonts w:ascii="楷体" w:hAnsi="楷体" w:eastAsia="楷体"/>
                <w:szCs w:val="21"/>
              </w:rPr>
            </w:pPr>
            <w:r>
              <w:rPr>
                <w:rFonts w:hint="eastAsia" w:ascii="楷体" w:hAnsi="楷体" w:eastAsia="楷体"/>
                <w:szCs w:val="21"/>
              </w:rPr>
              <w:t>b)支持性服务（例如售后服务、运输、通讯或信息系统及文印设备及财务资源等）；</w:t>
            </w:r>
          </w:p>
          <w:p>
            <w:pPr>
              <w:spacing w:line="240" w:lineRule="exact"/>
              <w:rPr>
                <w:rFonts w:ascii="宋体" w:hAnsi="宋体"/>
                <w:b/>
                <w:sz w:val="21"/>
                <w:szCs w:val="21"/>
              </w:rPr>
            </w:pPr>
            <w:r>
              <w:rPr>
                <w:rFonts w:hint="eastAsia" w:ascii="楷体" w:hAnsi="楷体" w:eastAsia="楷体"/>
                <w:szCs w:val="21"/>
                <w:lang w:val="en-US" w:eastAsia="zh-CN"/>
              </w:rPr>
              <w:t>c</w:t>
            </w:r>
            <w:r>
              <w:rPr>
                <w:rFonts w:hint="eastAsia" w:ascii="楷体" w:hAnsi="楷体" w:eastAsia="楷体"/>
                <w:szCs w:val="21"/>
              </w:rPr>
              <w:t>)主要生产设备：箱绕机、高压自动绕线机、低压绕线机、鼓风恒温干燥箱、台式砂轮机、剪板机、冲床、台钻、折弯机、母线加工机、压接机、母线加工机、电脑剥离机、窑炉、瓷坯成型机、台式多用钻床等,满足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ascii="楷体" w:hAnsi="楷体" w:eastAsia="楷体"/>
                <w:szCs w:val="21"/>
              </w:rPr>
            </w:pPr>
            <w:r>
              <w:rPr>
                <w:rFonts w:hint="eastAsia" w:asciiTheme="minorEastAsia" w:hAnsiTheme="minorEastAsia" w:eastAsiaTheme="minorEastAsia"/>
                <w:sz w:val="20"/>
                <w:szCs w:val="20"/>
              </w:rPr>
              <w:t>工作环境：</w:t>
            </w:r>
            <w:r>
              <w:rPr>
                <w:rFonts w:hint="eastAsia" w:asciiTheme="minorEastAsia" w:hAnsiTheme="minorEastAsia" w:eastAsiaTheme="minorEastAsia"/>
                <w:sz w:val="20"/>
                <w:szCs w:val="20"/>
                <w:lang w:val="en-US" w:eastAsia="zh-CN"/>
              </w:rPr>
              <w:t xml:space="preserve"> </w:t>
            </w:r>
            <w:r>
              <w:rPr>
                <w:rFonts w:hint="eastAsia" w:ascii="楷体" w:hAnsi="楷体" w:eastAsia="楷体"/>
                <w:szCs w:val="21"/>
              </w:rPr>
              <w:t>办公区域面积500平米； 布局合理，场所卫生干净整洁，工作环境良好，</w:t>
            </w:r>
          </w:p>
          <w:p>
            <w:pPr>
              <w:rPr>
                <w:rFonts w:asciiTheme="minorEastAsia" w:hAnsiTheme="minorEastAsia" w:eastAsiaTheme="minorEastAsia"/>
                <w:sz w:val="20"/>
                <w:szCs w:val="20"/>
              </w:rPr>
            </w:pPr>
            <w:r>
              <w:rPr>
                <w:rFonts w:hint="eastAsia" w:ascii="楷体" w:hAnsi="楷体" w:eastAsia="楷体"/>
                <w:szCs w:val="21"/>
              </w:rPr>
              <w:t xml:space="preserve">          车间：面积约2500平米，库房1000平米，产品分类排放，设备摆放有序；</w:t>
            </w:r>
          </w:p>
          <w:p>
            <w:pPr>
              <w:spacing w:line="240" w:lineRule="exact"/>
              <w:rPr>
                <w:rFonts w:ascii="宋体" w:hAnsi="宋体"/>
                <w:b/>
                <w:sz w:val="21"/>
                <w:szCs w:val="21"/>
              </w:rPr>
            </w:pPr>
            <w:r>
              <w:rPr>
                <w:rFonts w:hint="eastAsia" w:ascii="楷体" w:hAnsi="楷体" w:eastAsia="楷体" w:cs="楷体"/>
                <w:sz w:val="24"/>
                <w:szCs w:val="24"/>
              </w:rPr>
              <w:t>环境满足需求。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ascii="楷体" w:hAnsi="楷体" w:eastAsia="楷体" w:cs="楷体"/>
                <w:sz w:val="24"/>
                <w:szCs w:val="24"/>
              </w:rPr>
            </w:pPr>
            <w:r>
              <w:rPr>
                <w:rFonts w:hint="eastAsia" w:ascii="楷体" w:hAnsi="楷体" w:eastAsia="楷体" w:cs="楷体"/>
                <w:sz w:val="24"/>
                <w:szCs w:val="24"/>
              </w:rPr>
              <w:sym w:font="Wingdings 2" w:char="F098"/>
            </w:r>
            <w:r>
              <w:rPr>
                <w:rFonts w:hint="eastAsia" w:ascii="楷体" w:hAnsi="楷体" w:eastAsia="楷体" w:cs="楷体"/>
                <w:sz w:val="24"/>
                <w:szCs w:val="24"/>
              </w:rPr>
              <w:t>建立有《监视和测量设备台帐》监视测量仪器有：绝缘电阻表 、绝缘电阻测试仪、万用表、游标卡尺 、耐压测试仪 、接地电阻测试仪、钢直尺、钢卷尺等31种监视测量设备，满足检验需求；</w:t>
            </w:r>
          </w:p>
          <w:p>
            <w:pPr>
              <w:spacing w:line="276" w:lineRule="auto"/>
              <w:ind w:right="19" w:rightChars="8"/>
              <w:rPr>
                <w:rFonts w:hint="eastAsia" w:ascii="楷体" w:hAnsi="楷体" w:eastAsia="楷体" w:cs="楷体"/>
                <w:sz w:val="24"/>
                <w:szCs w:val="24"/>
              </w:rPr>
            </w:pPr>
            <w:r>
              <w:rPr>
                <w:rFonts w:hint="eastAsia" w:ascii="楷体" w:hAnsi="楷体" w:eastAsia="楷体" w:cs="楷体"/>
                <w:sz w:val="24"/>
                <w:szCs w:val="24"/>
              </w:rPr>
              <w:sym w:font="Wingdings 2" w:char="F098"/>
            </w:r>
            <w:r>
              <w:rPr>
                <w:rFonts w:hint="eastAsia" w:ascii="楷体" w:hAnsi="楷体" w:eastAsia="楷体" w:cs="楷体"/>
                <w:sz w:val="24"/>
                <w:szCs w:val="24"/>
              </w:rPr>
              <w:t>没有用于监测的计算机软件。</w:t>
            </w:r>
          </w:p>
          <w:p>
            <w:pPr>
              <w:spacing w:line="276" w:lineRule="auto"/>
              <w:ind w:right="19" w:rightChars="8"/>
              <w:rPr>
                <w:rFonts w:hint="eastAsia" w:ascii="楷体" w:hAnsi="楷体" w:eastAsia="楷体" w:cs="楷体"/>
                <w:sz w:val="24"/>
                <w:szCs w:val="24"/>
              </w:rPr>
            </w:pPr>
            <w:r>
              <w:rPr>
                <w:rFonts w:hint="eastAsia" w:ascii="楷体" w:hAnsi="楷体" w:eastAsia="楷体" w:cs="楷体"/>
                <w:sz w:val="24"/>
                <w:szCs w:val="24"/>
              </w:rPr>
              <w:sym w:font="Wingdings 2" w:char="F098"/>
            </w:r>
            <w:r>
              <w:rPr>
                <w:rFonts w:hint="eastAsia" w:ascii="楷体" w:hAnsi="楷体" w:eastAsia="楷体" w:cs="楷体"/>
                <w:sz w:val="24"/>
                <w:szCs w:val="24"/>
              </w:rPr>
              <w:t>检测设备配置能满足产品检测需求。</w:t>
            </w:r>
          </w:p>
          <w:p>
            <w:pPr>
              <w:spacing w:line="240" w:lineRule="exact"/>
              <w:rPr>
                <w:rFonts w:ascii="宋体" w:hAnsi="宋体"/>
                <w:b/>
                <w:sz w:val="21"/>
                <w:szCs w:val="21"/>
              </w:rPr>
            </w:pPr>
            <w:r>
              <w:rPr>
                <w:rFonts w:hint="eastAsia" w:ascii="楷体" w:hAnsi="楷体" w:eastAsia="楷体" w:cs="楷体"/>
                <w:sz w:val="24"/>
                <w:szCs w:val="24"/>
              </w:rPr>
              <w:sym w:font="Wingdings 2" w:char="F098"/>
            </w:r>
            <w:r>
              <w:rPr>
                <w:rFonts w:hint="eastAsia" w:ascii="楷体" w:hAnsi="楷体" w:eastAsia="楷体" w:cs="楷体"/>
                <w:sz w:val="24"/>
                <w:szCs w:val="24"/>
              </w:rPr>
              <w:t>该公司使用的专业监视测量仪器，定期检测，一年一次。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rFonts w:hint="eastAsia" w:ascii="楷体" w:hAnsi="楷体" w:eastAsia="楷体" w:cs="楷体"/>
                <w:sz w:val="24"/>
                <w:szCs w:val="24"/>
              </w:rPr>
            </w:pPr>
            <w:r>
              <w:rPr>
                <w:rFonts w:hint="eastAsia" w:ascii="楷体" w:hAnsi="楷体" w:eastAsia="楷体" w:cs="楷体"/>
                <w:sz w:val="24"/>
                <w:szCs w:val="24"/>
              </w:rPr>
              <w:sym w:font="Wingdings 2" w:char="F098"/>
            </w:r>
            <w:r>
              <w:rPr>
                <w:rFonts w:hint="eastAsia" w:ascii="楷体" w:hAnsi="楷体" w:eastAsia="楷体" w:cs="楷体"/>
                <w:sz w:val="24"/>
                <w:szCs w:val="24"/>
              </w:rPr>
              <w:t>组织运行所需的知识从内、外部来源获取的有：</w:t>
            </w:r>
          </w:p>
          <w:p>
            <w:pPr>
              <w:pStyle w:val="13"/>
              <w:numPr>
                <w:ilvl w:val="0"/>
                <w:numId w:val="2"/>
              </w:numPr>
              <w:ind w:firstLineChars="0"/>
              <w:rPr>
                <w:rFonts w:hint="eastAsia" w:ascii="楷体" w:hAnsi="楷体" w:eastAsia="楷体" w:cs="楷体"/>
                <w:sz w:val="24"/>
                <w:szCs w:val="24"/>
              </w:rPr>
            </w:pPr>
            <w:r>
              <w:rPr>
                <w:rFonts w:hint="eastAsia" w:ascii="楷体" w:hAnsi="楷体" w:eastAsia="楷体" w:cs="楷体"/>
                <w:sz w:val="24"/>
                <w:szCs w:val="24"/>
              </w:rPr>
              <w:t>公司员工具有以往多年的工作经验（员工过去所有的）根据顾客要求提供满足顾客需求的产品信息等；</w:t>
            </w:r>
          </w:p>
          <w:p>
            <w:pPr>
              <w:pStyle w:val="13"/>
              <w:numPr>
                <w:ilvl w:val="0"/>
                <w:numId w:val="2"/>
              </w:numPr>
              <w:ind w:firstLineChars="0"/>
              <w:rPr>
                <w:rFonts w:hint="eastAsia" w:ascii="楷体" w:hAnsi="楷体" w:eastAsia="楷体" w:cs="楷体"/>
                <w:sz w:val="24"/>
                <w:szCs w:val="24"/>
              </w:rPr>
            </w:pPr>
            <w:r>
              <w:rPr>
                <w:rFonts w:hint="eastAsia" w:ascii="楷体" w:hAnsi="楷体" w:eastAsia="楷体" w:cs="楷体"/>
                <w:sz w:val="24"/>
                <w:szCs w:val="24"/>
              </w:rPr>
              <w:t>外部来源获取有：体系咨询老师传授的体系知识及所实施的内审员的培训；供方提供的产品介绍等。</w:t>
            </w:r>
          </w:p>
          <w:p>
            <w:pPr>
              <w:pStyle w:val="13"/>
              <w:numPr>
                <w:ilvl w:val="0"/>
                <w:numId w:val="2"/>
              </w:numPr>
              <w:ind w:firstLineChars="0"/>
              <w:rPr>
                <w:rFonts w:hint="eastAsia" w:ascii="楷体" w:hAnsi="楷体" w:eastAsia="楷体" w:cs="楷体"/>
                <w:sz w:val="24"/>
                <w:szCs w:val="24"/>
              </w:rPr>
            </w:pPr>
            <w:r>
              <w:rPr>
                <w:rFonts w:hint="eastAsia" w:ascii="楷体" w:hAnsi="楷体" w:eastAsia="楷体" w:cs="楷体"/>
                <w:sz w:val="24"/>
                <w:szCs w:val="24"/>
              </w:rPr>
              <w:t>获取及保持方法：老员工传帮带新员工；存档产品信息；</w:t>
            </w:r>
          </w:p>
          <w:p>
            <w:pPr>
              <w:pStyle w:val="13"/>
              <w:numPr>
                <w:ilvl w:val="0"/>
                <w:numId w:val="2"/>
              </w:numPr>
              <w:ind w:firstLineChars="0"/>
              <w:rPr>
                <w:rFonts w:hint="eastAsia" w:ascii="楷体" w:hAnsi="楷体" w:eastAsia="楷体" w:cs="楷体"/>
                <w:sz w:val="24"/>
                <w:szCs w:val="24"/>
              </w:rPr>
            </w:pPr>
            <w:r>
              <w:rPr>
                <w:rFonts w:hint="eastAsia" w:ascii="楷体" w:hAnsi="楷体" w:eastAsia="楷体" w:cs="楷体"/>
                <w:sz w:val="24"/>
                <w:szCs w:val="24"/>
              </w:rPr>
              <w:t>为应对不断变化的需求和法阵趋势，组织策划进行体系标准及相关知识的再培训、招聘有专业知识的生产、销售人员等方式，对确定的知识及时更新；</w:t>
            </w:r>
          </w:p>
          <w:p>
            <w:pPr>
              <w:outlineLvl w:val="0"/>
              <w:rPr>
                <w:rFonts w:hint="eastAsia" w:ascii="楷体" w:hAnsi="楷体" w:eastAsia="楷体" w:cs="楷体"/>
                <w:sz w:val="24"/>
                <w:szCs w:val="24"/>
                <w:highlight w:val="yellow"/>
              </w:rPr>
            </w:pPr>
            <w:r>
              <w:rPr>
                <w:rFonts w:hint="eastAsia" w:ascii="楷体" w:hAnsi="楷体" w:eastAsia="楷体" w:cs="楷体"/>
                <w:sz w:val="24"/>
                <w:szCs w:val="24"/>
              </w:rPr>
              <w:sym w:font="Wingdings 2" w:char="F098"/>
            </w:r>
            <w:r>
              <w:rPr>
                <w:rFonts w:hint="eastAsia" w:ascii="楷体" w:hAnsi="楷体" w:eastAsia="楷体" w:cs="楷体"/>
                <w:sz w:val="24"/>
                <w:szCs w:val="24"/>
              </w:rPr>
              <w:t>对外来文件进行了识别收集，现场提供有《外来文件一览表》包括质量法、标准化法、合同法、劳动法、消防法；</w:t>
            </w:r>
          </w:p>
          <w:p>
            <w:pPr>
              <w:outlineLvl w:val="0"/>
              <w:rPr>
                <w:rFonts w:hint="eastAsia" w:ascii="楷体" w:hAnsi="楷体" w:eastAsia="楷体" w:cs="楷体"/>
                <w:sz w:val="24"/>
                <w:szCs w:val="24"/>
              </w:rPr>
            </w:pPr>
            <w:r>
              <w:rPr>
                <w:rFonts w:hint="eastAsia" w:ascii="楷体" w:hAnsi="楷体" w:eastAsia="楷体" w:cs="楷体"/>
                <w:sz w:val="24"/>
                <w:szCs w:val="24"/>
              </w:rPr>
              <w:t>产品的相关国家标准、行业标准：</w:t>
            </w:r>
          </w:p>
          <w:p>
            <w:pPr>
              <w:spacing w:line="240" w:lineRule="exact"/>
              <w:rPr>
                <w:rFonts w:ascii="宋体" w:hAnsi="宋体"/>
                <w:b/>
                <w:sz w:val="21"/>
                <w:szCs w:val="21"/>
              </w:rPr>
            </w:pPr>
            <w:r>
              <w:rPr>
                <w:rFonts w:hint="eastAsia" w:ascii="楷体" w:hAnsi="楷体" w:eastAsia="楷体" w:cs="楷体"/>
                <w:sz w:val="24"/>
                <w:szCs w:val="24"/>
              </w:rPr>
              <w:t>GB/T 19000-2016《质量管理体系 基础和术语》、GB/T 19001-2016《质量管理体系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rPr>
                <w:rFonts w:ascii="楷体" w:hAnsi="楷体" w:eastAsia="楷体"/>
                <w:b/>
                <w:szCs w:val="21"/>
              </w:rPr>
            </w:pPr>
            <w:r>
              <w:rPr>
                <w:rFonts w:hint="eastAsia" w:ascii="宋体" w:hAnsi="宋体" w:eastAsia="宋体" w:cs="宋体"/>
                <w:szCs w:val="21"/>
              </w:rPr>
              <w:t>●</w:t>
            </w:r>
            <w:r>
              <w:rPr>
                <w:rFonts w:hint="eastAsia" w:ascii="楷体" w:hAnsi="楷体" w:eastAsia="楷体"/>
                <w:szCs w:val="21"/>
              </w:rPr>
              <w:t>质量方针：</w:t>
            </w:r>
            <w:r>
              <w:rPr>
                <w:rFonts w:hint="eastAsia" w:ascii="楷体" w:hAnsi="楷体" w:eastAsia="楷体"/>
                <w:b/>
                <w:szCs w:val="21"/>
              </w:rPr>
              <w:t>顾客第一，优质服务，持续改进，顾客满意。</w:t>
            </w:r>
          </w:p>
          <w:p>
            <w:pPr>
              <w:spacing w:line="300" w:lineRule="exact"/>
              <w:ind w:left="1"/>
              <w:rPr>
                <w:rFonts w:hint="eastAsia" w:ascii="宋体" w:hAnsi="宋体"/>
                <w:b/>
                <w:sz w:val="21"/>
                <w:szCs w:val="21"/>
              </w:rPr>
            </w:pPr>
            <w:r>
              <w:rPr>
                <w:rFonts w:hint="eastAsia" w:ascii="宋体" w:hAnsi="宋体" w:eastAsia="宋体" w:cs="宋体"/>
                <w:szCs w:val="21"/>
              </w:rPr>
              <w:t>●</w:t>
            </w:r>
            <w:r>
              <w:rPr>
                <w:rFonts w:hint="eastAsia" w:ascii="楷体" w:hAnsi="楷体" w:eastAsia="楷体"/>
                <w:szCs w:val="21"/>
              </w:rPr>
              <w:t>方针与企业的经营宗旨相适应，协调一致；通过会议传达，沟通，让全体员工理解执行。并定期进行评审（一般一年一次）。</w:t>
            </w:r>
            <w:r>
              <w:rPr>
                <w:rFonts w:hint="eastAsia" w:ascii="楷体" w:hAnsi="楷体" w:eastAsia="楷体"/>
                <w:szCs w:val="21"/>
                <w:lang w:val="en-US" w:eastAsia="zh-CN"/>
              </w:rPr>
              <w:t>经2021年度的管理评审，企业的质量方针适宜。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宋体" w:hAnsi="宋体"/>
                <w:b/>
                <w:sz w:val="21"/>
                <w:szCs w:val="21"/>
              </w:rPr>
            </w:pPr>
            <w:r>
              <w:rPr>
                <w:rFonts w:hint="eastAsia" w:ascii="楷体_GB2312" w:eastAsia="楷体_GB2312"/>
                <w:b/>
                <w:color w:val="000000" w:themeColor="text1"/>
                <w:sz w:val="20"/>
                <w:szCs w:val="20"/>
              </w:rPr>
              <w:t>组织对外联络，关注顾客的感受情况（QMS）：对顾客回访，进行满意度调查。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hint="eastAsia" w:ascii="楷体" w:hAnsi="楷体" w:eastAsia="楷体" w:cs="楷体"/>
                <w:sz w:val="24"/>
                <w:szCs w:val="24"/>
              </w:rPr>
            </w:pPr>
            <w:r>
              <w:rPr>
                <w:rFonts w:hint="eastAsia" w:ascii="楷体" w:hAnsi="楷体" w:eastAsia="楷体" w:cs="楷体"/>
                <w:sz w:val="24"/>
                <w:szCs w:val="24"/>
              </w:rPr>
              <w:sym w:font="Wingdings 2" w:char="F098"/>
            </w:r>
            <w:r>
              <w:rPr>
                <w:rFonts w:hint="eastAsia" w:ascii="楷体" w:hAnsi="楷体" w:eastAsia="楷体" w:cs="楷体"/>
                <w:sz w:val="24"/>
                <w:szCs w:val="24"/>
              </w:rPr>
              <w:t>企业提供的资料显示生产程序：行政部、生产部、市场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产部下达生产任务书。</w:t>
            </w:r>
          </w:p>
          <w:p>
            <w:pPr>
              <w:pStyle w:val="15"/>
              <w:autoSpaceDE/>
              <w:autoSpaceDN/>
              <w:adjustRightInd/>
              <w:spacing w:line="340" w:lineRule="exact"/>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sym w:font="Wingdings 2" w:char="F098"/>
            </w:r>
            <w:r>
              <w:rPr>
                <w:rFonts w:hint="eastAsia" w:ascii="楷体" w:hAnsi="楷体" w:eastAsia="楷体" w:cs="楷体"/>
                <w:color w:val="auto"/>
                <w:kern w:val="2"/>
                <w:sz w:val="24"/>
                <w:szCs w:val="24"/>
              </w:rPr>
              <w:t xml:space="preserve">采购过程控制（包括外包过程）：首先编制进货检验规程等作业文件规定采购产品质量要求；其次对采购供方进行了评价，保证采购产品/服务的质量符合公司要求，通过制定采购计划实施采购。 </w:t>
            </w:r>
          </w:p>
          <w:p>
            <w:pPr>
              <w:pStyle w:val="15"/>
              <w:autoSpaceDE/>
              <w:autoSpaceDN/>
              <w:adjustRightInd/>
              <w:spacing w:line="340" w:lineRule="exact"/>
              <w:rPr>
                <w:rFonts w:hint="eastAsia" w:ascii="楷体" w:hAnsi="楷体" w:eastAsia="楷体" w:cs="楷体"/>
                <w:color w:val="auto"/>
                <w:kern w:val="2"/>
                <w:sz w:val="24"/>
                <w:szCs w:val="24"/>
              </w:rPr>
            </w:pPr>
            <w:r>
              <w:rPr>
                <w:rFonts w:hint="eastAsia" w:ascii="楷体" w:hAnsi="楷体" w:eastAsia="楷体" w:cs="楷体"/>
                <w:color w:val="auto"/>
                <w:kern w:val="2"/>
                <w:sz w:val="24"/>
                <w:szCs w:val="24"/>
                <w:lang w:val="en-GB"/>
              </w:rPr>
              <w:sym w:font="Wingdings 2" w:char="F098"/>
            </w:r>
            <w:r>
              <w:rPr>
                <w:rFonts w:hint="eastAsia" w:ascii="楷体" w:hAnsi="楷体" w:eastAsia="楷体" w:cs="楷体"/>
                <w:color w:val="auto"/>
                <w:kern w:val="2"/>
                <w:sz w:val="24"/>
                <w:szCs w:val="24"/>
                <w:lang w:val="en-GB"/>
              </w:rPr>
              <w:t>生产过程控制：主要控制的过程有：</w:t>
            </w:r>
            <w:r>
              <w:rPr>
                <w:rFonts w:hint="eastAsia" w:ascii="楷体" w:hAnsi="楷体" w:eastAsia="楷体" w:cs="楷体"/>
                <w:sz w:val="24"/>
                <w:szCs w:val="24"/>
              </w:rPr>
              <w:t>变压器：高低压线圈绕制，绝缘子：烧制、成型，柱上断路器：特性测试，</w:t>
            </w:r>
            <w:r>
              <w:rPr>
                <w:rFonts w:hint="eastAsia" w:ascii="楷体" w:hAnsi="楷体" w:eastAsia="楷体" w:cs="楷体"/>
                <w:bCs/>
                <w:sz w:val="24"/>
                <w:szCs w:val="24"/>
              </w:rPr>
              <w:t>端子箱/风冷控制柜:调试检验，绝缘横担：检验</w:t>
            </w:r>
            <w:r>
              <w:rPr>
                <w:rFonts w:hint="eastAsia" w:ascii="楷体" w:hAnsi="楷体" w:eastAsia="楷体" w:cs="楷体"/>
                <w:sz w:val="24"/>
                <w:szCs w:val="24"/>
              </w:rPr>
              <w:t>等过程</w:t>
            </w:r>
            <w:r>
              <w:rPr>
                <w:rFonts w:hint="eastAsia" w:ascii="楷体" w:hAnsi="楷体" w:eastAsia="楷体" w:cs="楷体"/>
                <w:color w:val="auto"/>
                <w:kern w:val="2"/>
                <w:sz w:val="24"/>
                <w:szCs w:val="24"/>
                <w:lang w:val="en-GB"/>
              </w:rPr>
              <w:t>；制定了生产</w:t>
            </w:r>
            <w:r>
              <w:rPr>
                <w:rFonts w:hint="eastAsia" w:ascii="楷体" w:hAnsi="楷体" w:eastAsia="楷体" w:cs="楷体"/>
                <w:color w:val="auto"/>
                <w:kern w:val="2"/>
                <w:sz w:val="24"/>
                <w:szCs w:val="24"/>
              </w:rPr>
              <w:t>设备管理制度、设备操作规程、作业指导书、成品检验规范等管理技术文件。</w:t>
            </w:r>
          </w:p>
          <w:p>
            <w:pPr>
              <w:pStyle w:val="15"/>
              <w:autoSpaceDE/>
              <w:autoSpaceDN/>
              <w:adjustRightInd/>
              <w:spacing w:line="340" w:lineRule="exact"/>
              <w:rPr>
                <w:rFonts w:hint="eastAsia" w:ascii="楷体" w:hAnsi="楷体" w:eastAsia="楷体" w:cs="楷体"/>
                <w:color w:val="auto"/>
                <w:kern w:val="2"/>
                <w:sz w:val="24"/>
                <w:szCs w:val="24"/>
              </w:rPr>
            </w:pPr>
            <w:r>
              <w:rPr>
                <w:rFonts w:hint="eastAsia" w:ascii="楷体" w:hAnsi="楷体" w:eastAsia="楷体" w:cs="楷体"/>
                <w:color w:val="auto"/>
                <w:kern w:val="2"/>
                <w:sz w:val="24"/>
                <w:szCs w:val="24"/>
              </w:rPr>
              <w:sym w:font="Wingdings 2" w:char="F098"/>
            </w:r>
            <w:r>
              <w:rPr>
                <w:rFonts w:hint="eastAsia" w:ascii="楷体" w:hAnsi="楷体" w:eastAsia="楷体" w:cs="楷体"/>
                <w:color w:val="auto"/>
                <w:kern w:val="2"/>
                <w:sz w:val="24"/>
                <w:szCs w:val="24"/>
              </w:rPr>
              <w:t>配备了</w:t>
            </w:r>
            <w:r>
              <w:rPr>
                <w:rFonts w:hint="eastAsia" w:ascii="楷体" w:hAnsi="楷体" w:eastAsia="楷体" w:cs="楷体"/>
                <w:sz w:val="24"/>
                <w:szCs w:val="24"/>
              </w:rPr>
              <w:t>箱绕机、高压自动绕线机、低压绕线机、鼓风恒温干燥箱、台式砂轮机、剪板机、冲床、台钻、折弯机、母线加工机、压接机、母线加工机、电脑剥离机、窑炉、瓷坯成型机、台式多用钻床等</w:t>
            </w:r>
            <w:r>
              <w:rPr>
                <w:rFonts w:hint="eastAsia" w:ascii="楷体" w:hAnsi="楷体" w:eastAsia="楷体" w:cs="楷体"/>
                <w:color w:val="auto"/>
                <w:kern w:val="2"/>
                <w:sz w:val="24"/>
                <w:szCs w:val="24"/>
              </w:rPr>
              <w:t>，</w:t>
            </w:r>
            <w:r>
              <w:rPr>
                <w:rFonts w:hint="eastAsia" w:ascii="楷体" w:hAnsi="楷体" w:eastAsia="楷体" w:cs="楷体"/>
                <w:sz w:val="24"/>
                <w:szCs w:val="24"/>
              </w:rPr>
              <w:t>基本满足要求。</w:t>
            </w:r>
            <w:r>
              <w:rPr>
                <w:rFonts w:hint="eastAsia" w:ascii="楷体" w:hAnsi="楷体" w:eastAsia="楷体" w:cs="楷体"/>
                <w:color w:val="auto"/>
                <w:kern w:val="2"/>
                <w:sz w:val="24"/>
                <w:szCs w:val="24"/>
              </w:rPr>
              <w:t xml:space="preserve"> </w:t>
            </w:r>
          </w:p>
          <w:p>
            <w:pPr>
              <w:rPr>
                <w:rFonts w:hint="eastAsia" w:ascii="楷体" w:hAnsi="楷体" w:eastAsia="楷体" w:cs="楷体"/>
                <w:sz w:val="24"/>
                <w:szCs w:val="24"/>
              </w:rPr>
            </w:pPr>
            <w:r>
              <w:rPr>
                <w:rFonts w:hint="eastAsia" w:ascii="楷体" w:hAnsi="楷体" w:eastAsia="楷体" w:cs="楷体"/>
                <w:sz w:val="24"/>
                <w:szCs w:val="24"/>
              </w:rPr>
              <w:sym w:font="Wingdings 2" w:char="F098"/>
            </w:r>
            <w:r>
              <w:rPr>
                <w:rFonts w:hint="eastAsia" w:ascii="楷体" w:hAnsi="楷体" w:eastAsia="楷体" w:cs="楷体"/>
                <w:sz w:val="24"/>
                <w:szCs w:val="24"/>
              </w:rPr>
              <w:t>配备了建立有《监视和测量设备台帐》监视测量仪器有：绝缘电阻表 、绝缘电阻测试仪、万用表、游标卡尺 、耐压测试仪 、接地电阻测试仪、钢直尺、钢卷尺等31种监视测量设备，基本满足生产、检测要求。</w:t>
            </w:r>
          </w:p>
          <w:p>
            <w:pPr>
              <w:pStyle w:val="15"/>
              <w:autoSpaceDE/>
              <w:autoSpaceDN/>
              <w:adjustRightInd/>
              <w:spacing w:line="340" w:lineRule="exact"/>
              <w:rPr>
                <w:rFonts w:hint="eastAsia" w:ascii="楷体" w:hAnsi="楷体" w:eastAsia="楷体" w:cs="楷体"/>
                <w:sz w:val="24"/>
                <w:szCs w:val="24"/>
              </w:rPr>
            </w:pPr>
            <w:r>
              <w:rPr>
                <w:rFonts w:hint="eastAsia" w:ascii="楷体" w:hAnsi="楷体" w:eastAsia="楷体" w:cs="楷体"/>
                <w:color w:val="auto"/>
                <w:kern w:val="2"/>
                <w:sz w:val="24"/>
                <w:szCs w:val="24"/>
              </w:rPr>
              <w:sym w:font="Wingdings 2" w:char="F098"/>
            </w:r>
            <w:r>
              <w:rPr>
                <w:rFonts w:hint="eastAsia" w:ascii="楷体" w:hAnsi="楷体" w:eastAsia="楷体" w:cs="楷体"/>
                <w:color w:val="auto"/>
                <w:kern w:val="2"/>
                <w:sz w:val="24"/>
                <w:szCs w:val="24"/>
                <w:lang w:val="en-GB"/>
              </w:rPr>
              <w:t>产品检验：分为原材料、半成品及成品检验，原材料采取进货验证，半成品采取随工序检验，产品采取抽检。</w:t>
            </w:r>
          </w:p>
          <w:p>
            <w:pPr>
              <w:spacing w:line="300" w:lineRule="auto"/>
              <w:ind w:firstLine="240" w:firstLineChars="100"/>
              <w:rPr>
                <w:rFonts w:hint="eastAsia" w:ascii="楷体" w:hAnsi="楷体" w:eastAsia="楷体" w:cs="楷体"/>
                <w:b/>
                <w:color w:val="000000"/>
                <w:sz w:val="24"/>
                <w:szCs w:val="24"/>
              </w:rPr>
            </w:pPr>
            <w:r>
              <w:rPr>
                <w:rFonts w:hint="eastAsia" w:ascii="楷体" w:hAnsi="楷体" w:eastAsia="楷体" w:cs="楷体"/>
                <w:sz w:val="24"/>
                <w:szCs w:val="24"/>
                <w:lang w:val="en-GB"/>
              </w:rPr>
              <w:sym w:font="Wingdings 2" w:char="F098"/>
            </w:r>
            <w:r>
              <w:rPr>
                <w:rFonts w:hint="eastAsia" w:ascii="楷体" w:hAnsi="楷体" w:eastAsia="楷体" w:cs="楷体"/>
                <w:sz w:val="24"/>
                <w:szCs w:val="24"/>
                <w:lang w:val="en-GB"/>
              </w:rPr>
              <w:t>产品销售过程：</w:t>
            </w:r>
            <w:r>
              <w:rPr>
                <w:rFonts w:hint="eastAsia" w:ascii="楷体" w:hAnsi="楷体" w:eastAsia="楷体" w:cs="楷体"/>
                <w:sz w:val="24"/>
                <w:szCs w:val="24"/>
              </w:rPr>
              <w:t>公司主要产品为</w:t>
            </w:r>
            <w:r>
              <w:rPr>
                <w:rFonts w:hint="eastAsia" w:ascii="楷体" w:hAnsi="楷体" w:eastAsia="楷体" w:cs="楷体"/>
                <w:color w:val="000000"/>
                <w:sz w:val="24"/>
                <w:szCs w:val="24"/>
              </w:rPr>
              <w:t>10-35KV变压器、10KV柱上变压器台成套设备、变压器冷却控制柜、户外高压智能真空断路器（分界开关）、端子箱、绝缘子、复合绝缘横担，电力金具，铁附件  电缆保护管，箱式变压器的生产</w:t>
            </w:r>
            <w:r>
              <w:rPr>
                <w:rFonts w:hint="eastAsia" w:ascii="楷体" w:hAnsi="楷体" w:eastAsia="楷体" w:cs="楷体"/>
                <w:sz w:val="24"/>
                <w:szCs w:val="24"/>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pPr>
              <w:pStyle w:val="15"/>
              <w:spacing w:line="276" w:lineRule="auto"/>
              <w:jc w:val="both"/>
              <w:rPr>
                <w:rFonts w:hint="eastAsia" w:ascii="楷体" w:hAnsi="楷体" w:eastAsia="楷体" w:cs="楷体"/>
                <w:sz w:val="24"/>
                <w:szCs w:val="24"/>
              </w:rPr>
            </w:pPr>
            <w:r>
              <w:rPr>
                <w:rFonts w:hint="eastAsia" w:ascii="楷体" w:hAnsi="楷体" w:eastAsia="楷体" w:cs="楷体"/>
                <w:sz w:val="24"/>
                <w:szCs w:val="24"/>
                <w:lang w:val="en-GB"/>
              </w:rPr>
              <w:sym w:font="Wingdings 2" w:char="F098"/>
            </w:r>
            <w:r>
              <w:rPr>
                <w:rFonts w:hint="eastAsia" w:ascii="楷体" w:hAnsi="楷体" w:eastAsia="楷体" w:cs="楷体"/>
                <w:sz w:val="24"/>
                <w:szCs w:val="24"/>
              </w:rPr>
              <w:t>该公司目前识别的特殊过程为：高低压线圈的绕制。</w:t>
            </w:r>
          </w:p>
          <w:p>
            <w:pPr>
              <w:pStyle w:val="15"/>
              <w:spacing w:line="276" w:lineRule="auto"/>
              <w:jc w:val="both"/>
              <w:rPr>
                <w:rFonts w:hint="eastAsia" w:ascii="楷体" w:hAnsi="楷体" w:eastAsia="楷体" w:cs="楷体"/>
                <w:sz w:val="24"/>
                <w:szCs w:val="24"/>
              </w:rPr>
            </w:pPr>
            <w:r>
              <w:rPr>
                <w:rFonts w:hint="eastAsia" w:ascii="楷体" w:hAnsi="楷体" w:eastAsia="楷体" w:cs="楷体"/>
                <w:sz w:val="24"/>
                <w:szCs w:val="24"/>
              </w:rPr>
              <w:t>外包过程：喷漆。</w:t>
            </w:r>
          </w:p>
          <w:p>
            <w:pPr>
              <w:pStyle w:val="15"/>
              <w:spacing w:line="276" w:lineRule="auto"/>
              <w:jc w:val="both"/>
              <w:rPr>
                <w:rFonts w:hint="eastAsia" w:ascii="楷体" w:hAnsi="楷体" w:eastAsia="楷体" w:cs="楷体"/>
                <w:sz w:val="24"/>
                <w:szCs w:val="24"/>
              </w:rPr>
            </w:pPr>
            <w:r>
              <w:rPr>
                <w:rFonts w:hint="eastAsia" w:ascii="楷体" w:hAnsi="楷体" w:eastAsia="楷体" w:cs="楷体"/>
                <w:sz w:val="24"/>
                <w:szCs w:val="24"/>
              </w:rPr>
              <w:sym w:font="Wingdings 2" w:char="F098"/>
            </w:r>
            <w:r>
              <w:rPr>
                <w:rFonts w:hint="eastAsia" w:ascii="楷体" w:hAnsi="楷体" w:eastAsia="楷体" w:cs="楷体"/>
                <w:sz w:val="24"/>
                <w:szCs w:val="24"/>
              </w:rPr>
              <w:t>质量手册规定了需确认过程识别的要求，提供《过程确认准则》。</w:t>
            </w:r>
          </w:p>
          <w:p>
            <w:pPr>
              <w:spacing w:line="240" w:lineRule="exact"/>
              <w:ind w:left="221" w:leftChars="42" w:hanging="120" w:hangingChars="50"/>
              <w:rPr>
                <w:rFonts w:hint="eastAsia" w:ascii="楷体" w:hAnsi="楷体" w:eastAsia="楷体" w:cs="楷体"/>
                <w:color w:val="000000" w:themeColor="text1"/>
                <w:sz w:val="24"/>
                <w:szCs w:val="24"/>
              </w:rPr>
            </w:pPr>
            <w:r>
              <w:rPr>
                <w:rFonts w:hint="eastAsia" w:ascii="楷体" w:hAnsi="楷体" w:eastAsia="楷体" w:cs="楷体"/>
                <w:color w:val="000000" w:themeColor="text1"/>
                <w:sz w:val="24"/>
                <w:szCs w:val="24"/>
              </w:rPr>
              <w:t>提供特殊过程</w:t>
            </w:r>
            <w:r>
              <w:rPr>
                <w:rFonts w:hint="eastAsia" w:ascii="楷体" w:hAnsi="楷体" w:eastAsia="楷体" w:cs="楷体"/>
                <w:sz w:val="24"/>
                <w:szCs w:val="24"/>
              </w:rPr>
              <w:t>高低压线圈的绕制过程</w:t>
            </w:r>
            <w:r>
              <w:rPr>
                <w:rFonts w:hint="eastAsia" w:ascii="楷体" w:hAnsi="楷体" w:eastAsia="楷体" w:cs="楷体"/>
                <w:color w:val="000000" w:themeColor="text1"/>
                <w:sz w:val="24"/>
                <w:szCs w:val="24"/>
              </w:rPr>
              <w:t>确认表、确认程序符合要求。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outlineLvl w:val="0"/>
              <w:rPr>
                <w:rFonts w:hint="eastAsia" w:ascii="楷体" w:hAnsi="楷体" w:eastAsia="楷体" w:cs="楷体"/>
                <w:sz w:val="24"/>
                <w:szCs w:val="24"/>
              </w:rPr>
            </w:pPr>
            <w:r>
              <w:rPr>
                <w:rFonts w:hint="eastAsia" w:ascii="楷体" w:hAnsi="楷体" w:eastAsia="楷体" w:cs="楷体"/>
                <w:color w:val="000000"/>
                <w:spacing w:val="-10"/>
                <w:sz w:val="24"/>
                <w:szCs w:val="24"/>
              </w:rPr>
              <w:t>产品技术标准号：</w:t>
            </w:r>
            <w:r>
              <w:rPr>
                <w:rFonts w:hint="eastAsia" w:ascii="楷体" w:hAnsi="楷体" w:eastAsia="楷体" w:cs="楷体"/>
                <w:sz w:val="24"/>
                <w:szCs w:val="24"/>
              </w:rPr>
              <w:t>1.10-35kv变压器</w:t>
            </w:r>
          </w:p>
          <w:p>
            <w:pPr>
              <w:outlineLvl w:val="0"/>
              <w:rPr>
                <w:rFonts w:hint="eastAsia" w:ascii="楷体" w:hAnsi="楷体" w:eastAsia="楷体" w:cs="楷体"/>
                <w:sz w:val="24"/>
                <w:szCs w:val="24"/>
              </w:rPr>
            </w:pPr>
            <w:r>
              <w:rPr>
                <w:rFonts w:hint="eastAsia" w:ascii="楷体" w:hAnsi="楷体" w:eastAsia="楷体" w:cs="楷体"/>
                <w:sz w:val="24"/>
                <w:szCs w:val="24"/>
              </w:rPr>
              <w:t>GB1094.1-1996 电力变压器第一部分总则</w:t>
            </w:r>
          </w:p>
          <w:p>
            <w:pPr>
              <w:outlineLvl w:val="0"/>
              <w:rPr>
                <w:rFonts w:hint="eastAsia" w:ascii="楷体" w:hAnsi="楷体" w:eastAsia="楷体" w:cs="楷体"/>
                <w:sz w:val="24"/>
                <w:szCs w:val="24"/>
              </w:rPr>
            </w:pPr>
            <w:r>
              <w:rPr>
                <w:rFonts w:hint="eastAsia" w:ascii="楷体" w:hAnsi="楷体" w:eastAsia="楷体" w:cs="楷体"/>
                <w:sz w:val="24"/>
                <w:szCs w:val="24"/>
              </w:rPr>
              <w:t>GB1094.2-1996 电力变压器第二部分升温</w:t>
            </w:r>
          </w:p>
          <w:p>
            <w:pPr>
              <w:outlineLvl w:val="0"/>
              <w:rPr>
                <w:rFonts w:hint="eastAsia" w:ascii="楷体" w:hAnsi="楷体" w:eastAsia="楷体" w:cs="楷体"/>
                <w:sz w:val="24"/>
                <w:szCs w:val="24"/>
              </w:rPr>
            </w:pPr>
            <w:r>
              <w:rPr>
                <w:rFonts w:hint="eastAsia" w:ascii="楷体" w:hAnsi="楷体" w:eastAsia="楷体" w:cs="楷体"/>
                <w:sz w:val="24"/>
                <w:szCs w:val="24"/>
              </w:rPr>
              <w:t>GB1094.3-2003电力变压器第三部分绝缘</w:t>
            </w:r>
          </w:p>
          <w:p>
            <w:pPr>
              <w:outlineLvl w:val="0"/>
              <w:rPr>
                <w:rFonts w:hint="eastAsia" w:ascii="楷体" w:hAnsi="楷体" w:eastAsia="楷体" w:cs="楷体"/>
                <w:sz w:val="24"/>
                <w:szCs w:val="24"/>
              </w:rPr>
            </w:pPr>
            <w:r>
              <w:rPr>
                <w:rFonts w:hint="eastAsia" w:ascii="楷体" w:hAnsi="楷体" w:eastAsia="楷体" w:cs="楷体"/>
                <w:sz w:val="24"/>
                <w:szCs w:val="24"/>
              </w:rPr>
              <w:t>GB/T1094.4-2005电力变压器第四部分雷电冲击</w:t>
            </w:r>
          </w:p>
          <w:p>
            <w:pPr>
              <w:outlineLvl w:val="0"/>
              <w:rPr>
                <w:rFonts w:hint="eastAsia" w:ascii="楷体" w:hAnsi="楷体" w:eastAsia="楷体" w:cs="楷体"/>
                <w:sz w:val="24"/>
                <w:szCs w:val="24"/>
              </w:rPr>
            </w:pPr>
            <w:r>
              <w:rPr>
                <w:rFonts w:hint="eastAsia" w:ascii="楷体" w:hAnsi="楷体" w:eastAsia="楷体" w:cs="楷体"/>
                <w:sz w:val="24"/>
                <w:szCs w:val="24"/>
              </w:rPr>
              <w:t>GB1094.5-2008  电力变压器第五部分 短路</w:t>
            </w:r>
          </w:p>
          <w:p>
            <w:pPr>
              <w:outlineLvl w:val="0"/>
              <w:rPr>
                <w:rFonts w:hint="eastAsia" w:ascii="楷体" w:hAnsi="楷体" w:eastAsia="楷体" w:cs="楷体"/>
                <w:sz w:val="24"/>
                <w:szCs w:val="24"/>
              </w:rPr>
            </w:pPr>
            <w:r>
              <w:rPr>
                <w:rFonts w:hint="eastAsia" w:ascii="楷体" w:hAnsi="楷体" w:eastAsia="楷体" w:cs="楷体"/>
                <w:sz w:val="24"/>
                <w:szCs w:val="24"/>
              </w:rPr>
              <w:t>GB1094.10-2003  电力变压器第十部分 声级测定</w:t>
            </w:r>
          </w:p>
          <w:p>
            <w:pPr>
              <w:outlineLvl w:val="0"/>
              <w:rPr>
                <w:rFonts w:hint="eastAsia" w:ascii="楷体" w:hAnsi="楷体" w:eastAsia="楷体" w:cs="楷体"/>
                <w:sz w:val="24"/>
                <w:szCs w:val="24"/>
              </w:rPr>
            </w:pPr>
            <w:r>
              <w:rPr>
                <w:rFonts w:hint="eastAsia" w:ascii="楷体" w:hAnsi="楷体" w:eastAsia="楷体" w:cs="楷体"/>
                <w:sz w:val="24"/>
                <w:szCs w:val="24"/>
              </w:rPr>
              <w:t>JB/T501-2006   电力变压器试验导则</w:t>
            </w:r>
          </w:p>
          <w:p>
            <w:pPr>
              <w:outlineLvl w:val="0"/>
              <w:rPr>
                <w:rFonts w:hint="eastAsia" w:ascii="楷体" w:hAnsi="楷体" w:eastAsia="楷体" w:cs="楷体"/>
                <w:sz w:val="24"/>
                <w:szCs w:val="24"/>
              </w:rPr>
            </w:pPr>
            <w:r>
              <w:rPr>
                <w:rFonts w:hint="eastAsia" w:ascii="楷体" w:hAnsi="楷体" w:eastAsia="楷体" w:cs="楷体"/>
                <w:sz w:val="24"/>
                <w:szCs w:val="24"/>
              </w:rPr>
              <w:t>GB/T25438-2010三相油浸式立体卷铁心配电变压器技术参数和要求</w:t>
            </w:r>
          </w:p>
          <w:p>
            <w:pPr>
              <w:outlineLvl w:val="0"/>
              <w:rPr>
                <w:rFonts w:hint="eastAsia" w:ascii="楷体" w:hAnsi="楷体" w:eastAsia="楷体" w:cs="楷体"/>
                <w:sz w:val="24"/>
                <w:szCs w:val="24"/>
              </w:rPr>
            </w:pPr>
            <w:r>
              <w:rPr>
                <w:rFonts w:hint="eastAsia" w:ascii="楷体" w:hAnsi="楷体" w:eastAsia="楷体" w:cs="楷体"/>
                <w:sz w:val="24"/>
                <w:szCs w:val="24"/>
              </w:rPr>
              <w:t>2、变压器冷却控制柜、端子箱</w:t>
            </w:r>
          </w:p>
          <w:p>
            <w:pPr>
              <w:outlineLvl w:val="0"/>
              <w:rPr>
                <w:rFonts w:hint="eastAsia" w:ascii="楷体" w:hAnsi="楷体" w:eastAsia="楷体" w:cs="楷体"/>
                <w:sz w:val="24"/>
                <w:szCs w:val="24"/>
              </w:rPr>
            </w:pPr>
            <w:r>
              <w:rPr>
                <w:rFonts w:hint="eastAsia" w:ascii="楷体" w:hAnsi="楷体" w:eastAsia="楷体" w:cs="楷体"/>
                <w:sz w:val="24"/>
                <w:szCs w:val="24"/>
              </w:rPr>
              <w:t>GB/T 7261-2008 继电保护和安全自动装置基本试验方法</w:t>
            </w:r>
          </w:p>
          <w:p>
            <w:pPr>
              <w:outlineLvl w:val="0"/>
              <w:rPr>
                <w:rFonts w:hint="eastAsia" w:ascii="楷体" w:hAnsi="楷体" w:eastAsia="楷体" w:cs="楷体"/>
                <w:sz w:val="24"/>
                <w:szCs w:val="24"/>
              </w:rPr>
            </w:pPr>
            <w:r>
              <w:rPr>
                <w:rFonts w:hint="eastAsia" w:ascii="楷体" w:hAnsi="楷体" w:eastAsia="楷体" w:cs="楷体"/>
                <w:sz w:val="24"/>
                <w:szCs w:val="24"/>
              </w:rPr>
              <w:t>GB/T 14598.2-2011 量度继电器和保护装置 第1部分：通用要求</w:t>
            </w:r>
          </w:p>
          <w:p>
            <w:pPr>
              <w:outlineLvl w:val="0"/>
              <w:rPr>
                <w:rFonts w:hint="eastAsia" w:ascii="楷体" w:hAnsi="楷体" w:eastAsia="楷体" w:cs="楷体"/>
                <w:sz w:val="24"/>
                <w:szCs w:val="24"/>
              </w:rPr>
            </w:pPr>
            <w:r>
              <w:rPr>
                <w:rFonts w:hint="eastAsia" w:ascii="楷体" w:hAnsi="楷体" w:eastAsia="楷体" w:cs="楷体"/>
                <w:sz w:val="24"/>
                <w:szCs w:val="24"/>
              </w:rPr>
              <w:t>Q/ZZ 06-2016 ZZ-BFK  智能风冷控制柜（判定依据）</w:t>
            </w:r>
          </w:p>
          <w:p>
            <w:pPr>
              <w:outlineLvl w:val="0"/>
              <w:rPr>
                <w:rFonts w:hint="eastAsia" w:ascii="楷体" w:hAnsi="楷体" w:eastAsia="楷体" w:cs="楷体"/>
                <w:sz w:val="24"/>
                <w:szCs w:val="24"/>
              </w:rPr>
            </w:pPr>
            <w:r>
              <w:rPr>
                <w:rFonts w:hint="eastAsia" w:ascii="楷体" w:hAnsi="楷体" w:eastAsia="楷体" w:cs="楷体"/>
                <w:sz w:val="24"/>
                <w:szCs w:val="24"/>
              </w:rPr>
              <w:t>3.柱上断路器</w:t>
            </w:r>
          </w:p>
          <w:p>
            <w:pPr>
              <w:outlineLvl w:val="0"/>
              <w:rPr>
                <w:rFonts w:hint="eastAsia" w:ascii="楷体" w:hAnsi="楷体" w:eastAsia="楷体" w:cs="楷体"/>
                <w:sz w:val="24"/>
                <w:szCs w:val="24"/>
              </w:rPr>
            </w:pPr>
            <w:r>
              <w:rPr>
                <w:rFonts w:hint="eastAsia" w:ascii="楷体" w:hAnsi="楷体" w:eastAsia="楷体" w:cs="楷体"/>
                <w:sz w:val="24"/>
                <w:szCs w:val="24"/>
              </w:rPr>
              <w:t>GB 1984-2014  高压交流断路器</w:t>
            </w:r>
          </w:p>
          <w:p>
            <w:pPr>
              <w:outlineLvl w:val="0"/>
              <w:rPr>
                <w:rFonts w:hint="eastAsia" w:ascii="楷体" w:hAnsi="楷体" w:eastAsia="楷体" w:cs="楷体"/>
                <w:sz w:val="24"/>
                <w:szCs w:val="24"/>
              </w:rPr>
            </w:pPr>
            <w:r>
              <w:rPr>
                <w:rFonts w:hint="eastAsia" w:ascii="楷体" w:hAnsi="楷体" w:eastAsia="楷体" w:cs="楷体"/>
                <w:sz w:val="24"/>
                <w:szCs w:val="24"/>
              </w:rPr>
              <w:t>DL/T 593-2006 高压开关设备和控制设备标准的共用技术要求</w:t>
            </w:r>
          </w:p>
          <w:p>
            <w:pPr>
              <w:outlineLvl w:val="0"/>
              <w:rPr>
                <w:rFonts w:hint="eastAsia" w:ascii="楷体" w:hAnsi="楷体" w:eastAsia="楷体" w:cs="楷体"/>
                <w:sz w:val="24"/>
                <w:szCs w:val="24"/>
              </w:rPr>
            </w:pPr>
            <w:r>
              <w:rPr>
                <w:rFonts w:hint="eastAsia" w:ascii="楷体" w:hAnsi="楷体" w:eastAsia="楷体" w:cs="楷体"/>
                <w:sz w:val="24"/>
                <w:szCs w:val="24"/>
              </w:rPr>
              <w:t>4.绝缘子</w:t>
            </w:r>
          </w:p>
          <w:p>
            <w:pPr>
              <w:outlineLvl w:val="0"/>
              <w:rPr>
                <w:rFonts w:hint="eastAsia" w:ascii="楷体" w:hAnsi="楷体" w:eastAsia="楷体" w:cs="楷体"/>
                <w:sz w:val="24"/>
                <w:szCs w:val="24"/>
              </w:rPr>
            </w:pPr>
            <w:r>
              <w:rPr>
                <w:rFonts w:hint="eastAsia" w:ascii="楷体" w:hAnsi="楷体" w:eastAsia="楷体" w:cs="楷体"/>
                <w:sz w:val="24"/>
                <w:szCs w:val="24"/>
              </w:rPr>
              <w:t>GB/T1001-2003    IEC60383-1;1993,MOD判定准则</w:t>
            </w:r>
          </w:p>
          <w:p>
            <w:pPr>
              <w:outlineLvl w:val="0"/>
              <w:rPr>
                <w:rFonts w:hint="eastAsia" w:ascii="楷体" w:hAnsi="楷体" w:eastAsia="楷体" w:cs="楷体"/>
                <w:sz w:val="24"/>
                <w:szCs w:val="24"/>
              </w:rPr>
            </w:pPr>
            <w:r>
              <w:rPr>
                <w:rFonts w:hint="eastAsia" w:ascii="楷体" w:hAnsi="楷体" w:eastAsia="楷体" w:cs="楷体"/>
                <w:sz w:val="24"/>
                <w:szCs w:val="24"/>
              </w:rPr>
              <w:t>JB/T10585.1-2006标准</w:t>
            </w:r>
          </w:p>
          <w:p>
            <w:pPr>
              <w:outlineLvl w:val="0"/>
              <w:rPr>
                <w:rFonts w:hint="eastAsia" w:ascii="楷体" w:hAnsi="楷体" w:eastAsia="楷体" w:cs="楷体"/>
                <w:sz w:val="24"/>
                <w:szCs w:val="24"/>
              </w:rPr>
            </w:pPr>
            <w:r>
              <w:rPr>
                <w:rFonts w:hint="eastAsia" w:ascii="楷体" w:hAnsi="楷体" w:eastAsia="楷体" w:cs="楷体"/>
                <w:sz w:val="24"/>
                <w:szCs w:val="24"/>
              </w:rPr>
              <w:t>5.电缆保护管</w:t>
            </w:r>
          </w:p>
          <w:p>
            <w:pPr>
              <w:outlineLvl w:val="0"/>
              <w:rPr>
                <w:rFonts w:hint="eastAsia" w:ascii="楷体" w:hAnsi="楷体" w:eastAsia="楷体" w:cs="楷体"/>
                <w:sz w:val="24"/>
                <w:szCs w:val="24"/>
              </w:rPr>
            </w:pPr>
            <w:r>
              <w:rPr>
                <w:rFonts w:hint="eastAsia" w:ascii="楷体" w:hAnsi="楷体" w:eastAsia="楷体" w:cs="楷体"/>
                <w:sz w:val="24"/>
                <w:szCs w:val="24"/>
              </w:rPr>
              <w:t>GB1203、3-91、IEC60502-1997标准制造</w:t>
            </w:r>
          </w:p>
          <w:p>
            <w:pPr>
              <w:spacing w:line="300" w:lineRule="exact"/>
              <w:rPr>
                <w:rFonts w:hint="eastAsia" w:ascii="楷体" w:hAnsi="楷体" w:eastAsia="楷体" w:cs="楷体"/>
                <w:b/>
                <w:color w:val="000000" w:themeColor="text1"/>
                <w:sz w:val="24"/>
                <w:szCs w:val="24"/>
              </w:rPr>
            </w:pPr>
            <w:r>
              <w:rPr>
                <w:rFonts w:hint="eastAsia" w:ascii="楷体" w:hAnsi="楷体" w:eastAsia="楷体" w:cs="楷体"/>
                <w:sz w:val="24"/>
                <w:szCs w:val="24"/>
              </w:rPr>
              <w:t>及客户提供的图纸及客户技术要求，目前向顾客提供的产品均合格，提供有产品检验记录、客户验收记录、第三方检验报告。</w:t>
            </w:r>
          </w:p>
          <w:p>
            <w:pPr>
              <w:spacing w:line="300" w:lineRule="exact"/>
              <w:rPr>
                <w:rFonts w:hint="default" w:ascii="宋体" w:hAnsi="宋体" w:eastAsia="宋体"/>
                <w:b/>
                <w:sz w:val="21"/>
                <w:szCs w:val="21"/>
                <w:lang w:val="en-US" w:eastAsia="zh-CN"/>
              </w:rPr>
            </w:pPr>
            <w:r>
              <w:rPr>
                <w:rFonts w:hint="eastAsia" w:ascii="宋体" w:hAnsi="宋体"/>
                <w:b/>
                <w:sz w:val="21"/>
                <w:szCs w:val="21"/>
                <w:lang w:val="en-US" w:eastAsia="zh-CN"/>
              </w:rPr>
              <w:t>目前，提供给客户的产品均合格</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pStyle w:val="13"/>
              <w:numPr>
                <w:ilvl w:val="0"/>
                <w:numId w:val="3"/>
              </w:numPr>
              <w:spacing w:line="240" w:lineRule="exact"/>
              <w:ind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产品名称：变压器（立体卷铁芯变压器）</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报告编号：NO.19M0170S</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检测日期：2019.4.29</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检测单位：国家电器产品质量监督检验中心</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注：还有其他变压器的检测报告，只收集了该报告的全部内容，其余只收集了封皮。</w:t>
            </w:r>
          </w:p>
          <w:p>
            <w:pPr>
              <w:pStyle w:val="13"/>
              <w:numPr>
                <w:ilvl w:val="0"/>
                <w:numId w:val="3"/>
              </w:numPr>
              <w:spacing w:line="240" w:lineRule="exact"/>
              <w:ind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产品名称：10KV复合绝缘横担</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报告编号：NO.19*4490-S</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检测日期：2017.5.16-5.18</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检测单位：国家高压电器产品质量监督检验中心</w:t>
            </w:r>
          </w:p>
          <w:p>
            <w:pPr>
              <w:pStyle w:val="13"/>
              <w:numPr>
                <w:ilvl w:val="0"/>
                <w:numId w:val="3"/>
              </w:numPr>
              <w:spacing w:line="240" w:lineRule="exact"/>
              <w:ind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产品名称：户外高压智能真空断路器</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报告编号：NO.160595G</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检测日期：206.8.11</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检测单位：国家电器产品质量监督检验中心西安高压电器研究院有限责任公司</w:t>
            </w:r>
          </w:p>
          <w:p>
            <w:pPr>
              <w:pStyle w:val="13"/>
              <w:numPr>
                <w:ilvl w:val="0"/>
                <w:numId w:val="3"/>
              </w:numPr>
              <w:spacing w:line="240" w:lineRule="exact"/>
              <w:ind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产品名称：变压器冷却控制柜</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报告编号：JW160025</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检测日期：2016.1.14</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检测单位：国家继电保护及自动化设备质量监督检验中心</w:t>
            </w:r>
          </w:p>
          <w:p>
            <w:pPr>
              <w:pStyle w:val="13"/>
              <w:numPr>
                <w:ilvl w:val="0"/>
                <w:numId w:val="3"/>
              </w:numPr>
              <w:spacing w:line="240" w:lineRule="exact"/>
              <w:ind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产品名称：户外端控箱</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报告编号：MCDL-2013-693-F</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检测日期：2013.12.11</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检测单位：机器工业仪器仪表综合技术经济研究所测量控制设备及系统实验室</w:t>
            </w:r>
          </w:p>
          <w:p>
            <w:pPr>
              <w:pStyle w:val="13"/>
              <w:numPr>
                <w:ilvl w:val="0"/>
                <w:numId w:val="3"/>
              </w:numPr>
              <w:spacing w:line="240" w:lineRule="exact"/>
              <w:ind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产品名称：高压线路盘形悬式瓷绝缘子</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报告编号：NO.181096J</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检测日期：2019.5.8</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检测单位：西安高压电器研究所有限责任公司</w:t>
            </w:r>
          </w:p>
          <w:p>
            <w:pPr>
              <w:pStyle w:val="13"/>
              <w:numPr>
                <w:ilvl w:val="0"/>
                <w:numId w:val="3"/>
              </w:numPr>
              <w:spacing w:line="240" w:lineRule="exact"/>
              <w:ind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产品名称：拉紧复合绝缘子</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报告编号：NO.181104J</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检测日期：2019.6.6-6.15</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检测单位：西安高压电器研究所有限责任公司</w:t>
            </w:r>
          </w:p>
          <w:p>
            <w:pPr>
              <w:pStyle w:val="13"/>
              <w:numPr>
                <w:ilvl w:val="0"/>
                <w:numId w:val="3"/>
              </w:numPr>
              <w:spacing w:line="240" w:lineRule="exact"/>
              <w:ind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产品名称：电缆保护管</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报告编号：JS2020TD0689</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检测日期：2020.5.19</w:t>
            </w:r>
          </w:p>
          <w:p>
            <w:pPr>
              <w:pStyle w:val="13"/>
              <w:spacing w:line="240" w:lineRule="exact"/>
              <w:ind w:left="570" w:firstLine="0" w:firstLineChars="0"/>
              <w:rPr>
                <w:rFonts w:asciiTheme="minorEastAsia" w:hAnsiTheme="minorEastAsia" w:eastAsiaTheme="minorEastAsia"/>
                <w:color w:val="000000" w:themeColor="text1"/>
                <w:sz w:val="20"/>
                <w:szCs w:val="20"/>
              </w:rPr>
            </w:pPr>
            <w:r>
              <w:rPr>
                <w:rFonts w:hint="eastAsia" w:asciiTheme="minorEastAsia" w:hAnsiTheme="minorEastAsia" w:eastAsiaTheme="minorEastAsia"/>
                <w:color w:val="000000" w:themeColor="text1"/>
                <w:sz w:val="20"/>
                <w:szCs w:val="20"/>
              </w:rPr>
              <w:t>检测单位：国家建筑材料工业建筑围护材料及管道产品质量监督检验测试中心</w:t>
            </w:r>
          </w:p>
          <w:p>
            <w:pPr>
              <w:rPr>
                <w:rFonts w:asciiTheme="minorEastAsia" w:hAnsiTheme="minorEastAsia" w:eastAsiaTheme="minorEastAsia"/>
                <w:sz w:val="20"/>
                <w:szCs w:val="20"/>
              </w:rPr>
            </w:pPr>
          </w:p>
          <w:p>
            <w:pPr>
              <w:spacing w:line="240" w:lineRule="exact"/>
              <w:ind w:firstLine="200" w:firstLineChars="100"/>
              <w:rPr>
                <w:b/>
                <w:color w:val="000000" w:themeColor="text1"/>
                <w:sz w:val="20"/>
                <w:szCs w:val="20"/>
              </w:rPr>
            </w:pPr>
            <w:r>
              <w:rPr>
                <w:rFonts w:hint="eastAsia" w:asciiTheme="minorEastAsia" w:hAnsiTheme="minorEastAsia" w:eastAsiaTheme="minorEastAsia"/>
                <w:sz w:val="20"/>
                <w:szCs w:val="20"/>
              </w:rPr>
              <w:t>具体内容见：检测报告扫描件</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w:t>
            </w:r>
            <w:r>
              <w:rPr>
                <w:rFonts w:hint="eastAsia"/>
                <w:sz w:val="20"/>
                <w:szCs w:val="20"/>
              </w:rPr>
              <w:t>提供了《</w:t>
            </w:r>
            <w:r>
              <w:rPr>
                <w:rFonts w:hint="eastAsia" w:ascii="宋体" w:hAnsi="宋体"/>
                <w:sz w:val="20"/>
                <w:szCs w:val="20"/>
              </w:rPr>
              <w:t>不合格品处置记录</w:t>
            </w:r>
            <w:r>
              <w:rPr>
                <w:rFonts w:hint="eastAsia"/>
                <w:sz w:val="20"/>
                <w:szCs w:val="20"/>
              </w:rPr>
              <w:t>》</w:t>
            </w:r>
            <w:r>
              <w:rPr>
                <w:rFonts w:hint="eastAsia" w:ascii="宋体" w:hAnsi="宋体"/>
                <w:sz w:val="20"/>
                <w:szCs w:val="20"/>
              </w:rPr>
              <w:t>，能对不合格品进行全面、有效的处置和控制，至今出厂的产品未有不合格品发现；客户反馈无质量问题。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rFonts w:ascii="宋体" w:hAnsi="宋体"/>
                <w:b/>
                <w:sz w:val="21"/>
                <w:szCs w:val="21"/>
              </w:rPr>
            </w:pPr>
            <w:r>
              <w:rPr>
                <w:rFonts w:hint="eastAsia"/>
                <w:sz w:val="20"/>
                <w:szCs w:val="20"/>
              </w:rPr>
              <w:t>提供了文件化可分解的目标、指标，经查问分解到各部门，经查阅建立的管理目标符合标准要求，在方针的框架下展开，每季度考核一次，查看202</w:t>
            </w:r>
            <w:r>
              <w:rPr>
                <w:rFonts w:hint="eastAsia"/>
                <w:sz w:val="20"/>
                <w:szCs w:val="20"/>
                <w:lang w:val="en-US" w:eastAsia="zh-CN"/>
              </w:rPr>
              <w:t>1</w:t>
            </w:r>
            <w:bookmarkStart w:id="23" w:name="_GoBack"/>
            <w:bookmarkEnd w:id="23"/>
            <w:r>
              <w:rPr>
                <w:rFonts w:hint="eastAsia"/>
                <w:sz w:val="20"/>
                <w:szCs w:val="20"/>
              </w:rPr>
              <w:t>年</w:t>
            </w:r>
            <w:r>
              <w:rPr>
                <w:rFonts w:hint="eastAsia"/>
                <w:sz w:val="20"/>
                <w:szCs w:val="20"/>
                <w:lang w:val="en-US" w:eastAsia="zh-CN"/>
              </w:rPr>
              <w:t>1</w:t>
            </w:r>
            <w:r>
              <w:rPr>
                <w:rFonts w:hint="eastAsia"/>
                <w:sz w:val="20"/>
                <w:szCs w:val="20"/>
              </w:rPr>
              <w:t>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0" w:leftChars="0" w:hanging="100" w:hangingChars="50"/>
              <w:rPr>
                <w:rFonts w:ascii="宋体" w:hAnsi="宋体"/>
                <w:b/>
                <w:sz w:val="21"/>
                <w:szCs w:val="21"/>
              </w:rPr>
            </w:pPr>
            <w:r>
              <w:rPr>
                <w:rFonts w:hint="eastAsia"/>
                <w:sz w:val="20"/>
                <w:szCs w:val="20"/>
                <w:lang w:val="zh-CN"/>
              </w:rPr>
              <w:t>公司通过电话，走访等形式，接受顾客反馈，了解顾客顾客满意度信息，发放调查表对顾客满意度进行定量测量。提供“顾客满意程度调查表”，调查主要内容：</w:t>
            </w:r>
            <w:r>
              <w:rPr>
                <w:rFonts w:hint="eastAsia"/>
                <w:sz w:val="20"/>
                <w:szCs w:val="20"/>
              </w:rPr>
              <w:t>质量、价格、外观、服务等方面的满意程度</w:t>
            </w:r>
            <w:r>
              <w:rPr>
                <w:rFonts w:hint="eastAsia"/>
                <w:sz w:val="20"/>
                <w:szCs w:val="20"/>
                <w:lang w:val="zh-CN"/>
              </w:rPr>
              <w:t>等，</w:t>
            </w:r>
            <w:r>
              <w:rPr>
                <w:rFonts w:hint="eastAsia"/>
                <w:sz w:val="20"/>
                <w:szCs w:val="20"/>
              </w:rPr>
              <w:t>各项得分求平均值得最终结果</w:t>
            </w:r>
            <w:r>
              <w:rPr>
                <w:rFonts w:hint="eastAsia"/>
                <w:sz w:val="20"/>
                <w:szCs w:val="20"/>
                <w:lang w:val="zh-CN"/>
              </w:rPr>
              <w:t>。</w:t>
            </w:r>
            <w:r>
              <w:rPr>
                <w:rFonts w:hint="eastAsia"/>
                <w:sz w:val="20"/>
                <w:szCs w:val="20"/>
              </w:rPr>
              <w:t>提</w:t>
            </w:r>
            <w:r>
              <w:rPr>
                <w:rFonts w:hint="eastAsia"/>
                <w:sz w:val="20"/>
                <w:szCs w:val="20"/>
                <w:lang w:val="en-US" w:eastAsia="zh-CN"/>
              </w:rPr>
              <w:t>2020年度</w:t>
            </w:r>
            <w:r>
              <w:rPr>
                <w:rFonts w:hint="eastAsia"/>
                <w:sz w:val="20"/>
                <w:szCs w:val="20"/>
              </w:rPr>
              <w:t xml:space="preserve">顾客满意调查分析。2020年度顾客满意率97%。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r>
              <w:rPr>
                <w:rFonts w:hint="eastAsia"/>
                <w:sz w:val="20"/>
                <w:szCs w:val="20"/>
              </w:rPr>
              <w:t>按照策划的安排于</w:t>
            </w:r>
            <w:r>
              <w:rPr>
                <w:sz w:val="20"/>
                <w:szCs w:val="20"/>
              </w:rPr>
              <w:t>20</w:t>
            </w:r>
            <w:r>
              <w:rPr>
                <w:rFonts w:hint="eastAsia"/>
                <w:sz w:val="20"/>
                <w:szCs w:val="20"/>
              </w:rPr>
              <w:t>2</w:t>
            </w:r>
            <w:r>
              <w:rPr>
                <w:rFonts w:hint="eastAsia"/>
                <w:sz w:val="20"/>
                <w:szCs w:val="20"/>
                <w:lang w:val="en-US" w:eastAsia="zh-CN"/>
              </w:rPr>
              <w:t>1</w:t>
            </w:r>
            <w:r>
              <w:rPr>
                <w:rFonts w:hint="eastAsia"/>
                <w:sz w:val="20"/>
                <w:szCs w:val="20"/>
              </w:rPr>
              <w:t>年</w:t>
            </w:r>
            <w:r>
              <w:rPr>
                <w:rFonts w:hint="eastAsia"/>
                <w:sz w:val="20"/>
                <w:szCs w:val="20"/>
                <w:lang w:val="en-US" w:eastAsia="zh-CN"/>
              </w:rPr>
              <w:t>3</w:t>
            </w:r>
            <w:r>
              <w:rPr>
                <w:rFonts w:hint="eastAsia"/>
                <w:sz w:val="20"/>
                <w:szCs w:val="20"/>
              </w:rPr>
              <w:t>月22-23日进行了一次集中式的内部审核，经查阅资料及与管代沟通，内审员没有审核自己的工作，查阅内审记录，符合策划安排，提出1项不符合，责任部门进行了分析原因、采取纠正/纠正措施并验证了有效性，内审报告中对管理体系的符合性、充分性和运行有效性进行了评价。内审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宋体" w:hAnsi="宋体"/>
                <w:b/>
                <w:sz w:val="21"/>
                <w:szCs w:val="21"/>
              </w:rPr>
            </w:pPr>
            <w:r>
              <w:rPr>
                <w:rFonts w:hint="eastAsia"/>
                <w:sz w:val="20"/>
                <w:szCs w:val="20"/>
              </w:rPr>
              <w:t>照策划的安排于</w:t>
            </w:r>
            <w:r>
              <w:rPr>
                <w:sz w:val="20"/>
                <w:szCs w:val="20"/>
              </w:rPr>
              <w:t>20</w:t>
            </w:r>
            <w:r>
              <w:rPr>
                <w:rFonts w:hint="eastAsia"/>
                <w:sz w:val="20"/>
                <w:szCs w:val="20"/>
              </w:rPr>
              <w:t>2</w:t>
            </w:r>
            <w:r>
              <w:rPr>
                <w:rFonts w:hint="eastAsia"/>
                <w:sz w:val="20"/>
                <w:szCs w:val="20"/>
                <w:lang w:val="en-US" w:eastAsia="zh-CN"/>
              </w:rPr>
              <w:t>1</w:t>
            </w:r>
            <w:r>
              <w:rPr>
                <w:rFonts w:hint="eastAsia" w:cs="宋体"/>
                <w:sz w:val="20"/>
                <w:szCs w:val="20"/>
              </w:rPr>
              <w:t>年</w:t>
            </w:r>
            <w:r>
              <w:rPr>
                <w:rFonts w:hint="eastAsia" w:cs="宋体"/>
                <w:sz w:val="20"/>
                <w:szCs w:val="20"/>
                <w:lang w:val="en-US" w:eastAsia="zh-CN"/>
              </w:rPr>
              <w:t>4</w:t>
            </w:r>
            <w:r>
              <w:rPr>
                <w:rFonts w:hint="eastAsia" w:cs="宋体"/>
                <w:sz w:val="20"/>
                <w:szCs w:val="20"/>
              </w:rPr>
              <w:t>月10日</w:t>
            </w:r>
            <w:r>
              <w:rPr>
                <w:rFonts w:hint="eastAsia"/>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b/>
                <w:color w:val="000000" w:themeColor="text1"/>
                <w:sz w:val="20"/>
                <w:szCs w:val="20"/>
              </w:rPr>
            </w:pPr>
            <w:r>
              <w:rPr>
                <w:rFonts w:hint="eastAsia"/>
                <w:sz w:val="20"/>
                <w:szCs w:val="20"/>
              </w:rPr>
              <w:t>对内审提出的不符合进行原因分析，并完成了整改。对管理评审提出的不符合及改进要求，进行原因分析，制定了具体措施，目前已实施。纠正措施尚可，预防措施欠缺。</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rPr>
                <w:rFonts w:hint="eastAsia" w:ascii="宋体" w:hAnsi="宋体"/>
                <w:b/>
                <w:sz w:val="21"/>
                <w:szCs w:val="21"/>
              </w:rPr>
            </w:pPr>
            <w:r>
              <w:rPr>
                <w:rFonts w:hint="eastAsia" w:ascii="宋体" w:hAnsi="宋体"/>
                <w:b/>
                <w:sz w:val="21"/>
                <w:szCs w:val="21"/>
              </w:rPr>
              <w:t>上次不符合的整改情况</w:t>
            </w:r>
          </w:p>
          <w:p>
            <w:pPr>
              <w:rPr>
                <w:rFonts w:ascii="楷体" w:hAnsi="楷体" w:eastAsia="楷体"/>
                <w:szCs w:val="21"/>
              </w:rPr>
            </w:pPr>
            <w:r>
              <w:rPr>
                <w:rFonts w:hint="eastAsia" w:ascii="楷体" w:hAnsi="楷体" w:eastAsia="楷体"/>
                <w:szCs w:val="21"/>
              </w:rPr>
              <w:t>2020.5.24的远程审核，企业没有对定玖龙喷漆按照要求对其进行了评价，企业已于2020.5.26进行了整改，经验证企业的纠正措施有效</w:t>
            </w:r>
          </w:p>
          <w:p>
            <w:pPr>
              <w:numPr>
                <w:ilvl w:val="0"/>
                <w:numId w:val="0"/>
              </w:numPr>
              <w:spacing w:line="240" w:lineRule="exact"/>
              <w:rPr>
                <w:rFonts w:hint="eastAsia" w:ascii="宋体" w:hAnsi="宋体"/>
                <w:b/>
                <w:sz w:val="21"/>
                <w:szCs w:val="21"/>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2055"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5"/>
              <w:spacing w:line="340" w:lineRule="exact"/>
              <w:ind w:left="1453" w:hanging="1033"/>
              <w:rPr>
                <w:color w:val="auto"/>
                <w:kern w:val="2"/>
                <w:sz w:val="21"/>
                <w:szCs w:val="21"/>
                <w:lang w:val="en-GB"/>
              </w:rPr>
            </w:pPr>
            <w:r>
              <w:rPr>
                <w:rFonts w:hint="eastAsia"/>
                <w:color w:val="auto"/>
                <w:kern w:val="2"/>
                <w:sz w:val="21"/>
                <w:szCs w:val="21"/>
                <w:lang w:val="en-GB"/>
              </w:rPr>
              <w:t xml:space="preserve">根据审核发现，审核组一致认为， </w:t>
            </w:r>
            <w:r>
              <w:rPr>
                <w:rFonts w:hint="eastAsia"/>
                <w:color w:val="auto"/>
                <w:sz w:val="21"/>
                <w:szCs w:val="21"/>
                <w:u w:val="single"/>
                <w:lang w:val="en-GB"/>
              </w:rPr>
              <w:t xml:space="preserve"> </w:t>
            </w:r>
            <w:r>
              <w:rPr>
                <w:b/>
                <w:sz w:val="20"/>
                <w:szCs w:val="20"/>
                <w:u w:val="single"/>
              </w:rPr>
              <w:t>保定市卓泽电气科技有限公司</w:t>
            </w:r>
            <w:r>
              <w:rPr>
                <w:rFonts w:hint="eastAsia"/>
                <w:color w:val="auto"/>
                <w:sz w:val="21"/>
                <w:szCs w:val="21"/>
                <w:u w:val="single"/>
              </w:rPr>
              <w:t xml:space="preserve"> </w:t>
            </w:r>
            <w:r>
              <w:rPr>
                <w:rFonts w:hint="eastAsia"/>
                <w:sz w:val="21"/>
                <w:szCs w:val="21"/>
                <w:u w:val="single"/>
              </w:rPr>
              <w:t xml:space="preserve"> </w:t>
            </w:r>
            <w:r>
              <w:rPr>
                <w:rFonts w:hint="eastAsia"/>
                <w:color w:val="auto"/>
                <w:kern w:val="2"/>
                <w:sz w:val="21"/>
                <w:szCs w:val="21"/>
                <w:lang w:val="en-GB"/>
              </w:rPr>
              <w:t>的</w:t>
            </w:r>
          </w:p>
          <w:p>
            <w:pPr>
              <w:pStyle w:val="15"/>
              <w:spacing w:line="340" w:lineRule="exact"/>
              <w:ind w:left="1441"/>
              <w:rPr>
                <w:color w:val="auto"/>
                <w:kern w:val="2"/>
                <w:sz w:val="21"/>
                <w:szCs w:val="21"/>
                <w:lang w:val="en-GB"/>
              </w:rPr>
            </w:pPr>
            <w:r>
              <w:rPr>
                <w:rFonts w:hint="eastAsia" w:hAnsi="宋体"/>
                <w:b/>
                <w:color w:val="auto"/>
                <w:sz w:val="21"/>
                <w:szCs w:val="21"/>
              </w:rPr>
              <w:t>■</w:t>
            </w:r>
            <w:r>
              <w:rPr>
                <w:rFonts w:hint="eastAsia"/>
                <w:color w:val="auto"/>
                <w:kern w:val="2"/>
                <w:sz w:val="21"/>
                <w:szCs w:val="21"/>
                <w:lang w:val="en-GB"/>
              </w:rPr>
              <w:t>质量</w:t>
            </w:r>
            <w:r>
              <w:rPr>
                <w:rFonts w:hint="eastAsia"/>
                <w:b/>
                <w:color w:val="auto"/>
                <w:sz w:val="21"/>
                <w:szCs w:val="21"/>
              </w:rPr>
              <w:t>□</w:t>
            </w:r>
            <w:r>
              <w:rPr>
                <w:rFonts w:hint="eastAsia"/>
                <w:color w:val="auto"/>
                <w:kern w:val="2"/>
                <w:sz w:val="21"/>
                <w:szCs w:val="21"/>
                <w:lang w:val="en-GB"/>
              </w:rPr>
              <w:t>环境</w:t>
            </w:r>
            <w:r>
              <w:rPr>
                <w:rFonts w:hint="eastAsia"/>
                <w:b/>
                <w:color w:val="auto"/>
                <w:sz w:val="21"/>
                <w:szCs w:val="21"/>
              </w:rPr>
              <w:t>□</w:t>
            </w:r>
            <w:r>
              <w:rPr>
                <w:rFonts w:hint="eastAsia"/>
                <w:color w:val="auto"/>
                <w:kern w:val="2"/>
                <w:sz w:val="21"/>
                <w:szCs w:val="21"/>
                <w:lang w:val="en-GB"/>
              </w:rPr>
              <w:t>职业健康安全</w:t>
            </w:r>
            <w:r>
              <w:rPr>
                <w:rFonts w:hint="eastAsia"/>
                <w:b/>
                <w:color w:val="auto"/>
                <w:sz w:val="21"/>
                <w:szCs w:val="21"/>
              </w:rPr>
              <w:t>□</w:t>
            </w:r>
            <w:r>
              <w:rPr>
                <w:rFonts w:hint="eastAsia"/>
                <w:color w:val="auto"/>
                <w:kern w:val="2"/>
                <w:sz w:val="21"/>
                <w:szCs w:val="21"/>
                <w:lang w:val="en-GB"/>
              </w:rPr>
              <w:t>食品安全 管理体系：</w:t>
            </w:r>
          </w:p>
          <w:tbl>
            <w:tblPr>
              <w:tblStyle w:val="5"/>
              <w:tblW w:w="0" w:type="auto"/>
              <w:tblInd w:w="1440"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5"/>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5"/>
                    <w:spacing w:line="340" w:lineRule="exact"/>
                    <w:jc w:val="both"/>
                    <w:rPr>
                      <w:color w:val="auto"/>
                      <w:kern w:val="2"/>
                      <w:sz w:val="21"/>
                      <w:szCs w:val="21"/>
                      <w:lang w:val="en-GB"/>
                    </w:rPr>
                  </w:pPr>
                  <w:r>
                    <w:rPr>
                      <w:rFonts w:hint="eastAsia" w:hAnsi="宋体"/>
                      <w:b/>
                      <w:color w:val="auto"/>
                      <w:sz w:val="21"/>
                      <w:szCs w:val="21"/>
                    </w:rPr>
                    <w:t>■</w:t>
                  </w:r>
                  <w:r>
                    <w:rPr>
                      <w:rFonts w:hint="eastAsia"/>
                      <w:color w:val="auto"/>
                      <w:kern w:val="2"/>
                      <w:sz w:val="21"/>
                      <w:szCs w:val="21"/>
                      <w:lang w:val="en-GB"/>
                    </w:rPr>
                    <w:t>符合</w:t>
                  </w:r>
                </w:p>
              </w:tc>
              <w:tc>
                <w:tcPr>
                  <w:tcW w:w="1134" w:type="dxa"/>
                </w:tcPr>
                <w:p>
                  <w:pPr>
                    <w:pStyle w:val="15"/>
                    <w:spacing w:line="340" w:lineRule="exact"/>
                    <w:jc w:val="both"/>
                    <w:rPr>
                      <w:color w:val="auto"/>
                      <w:kern w:val="2"/>
                      <w:sz w:val="21"/>
                      <w:szCs w:val="21"/>
                      <w:lang w:val="en-GB"/>
                    </w:rPr>
                  </w:pPr>
                  <w:r>
                    <w:rPr>
                      <w:rFonts w:hint="eastAsia"/>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5"/>
                    <w:spacing w:line="340" w:lineRule="exact"/>
                    <w:jc w:val="both"/>
                    <w:rPr>
                      <w:color w:val="auto"/>
                      <w:kern w:val="2"/>
                      <w:sz w:val="21"/>
                      <w:szCs w:val="21"/>
                      <w:lang w:val="en-GB"/>
                    </w:rPr>
                  </w:pPr>
                  <w:r>
                    <w:rPr>
                      <w:rFonts w:hint="eastAsia"/>
                      <w:color w:val="auto"/>
                      <w:sz w:val="21"/>
                      <w:szCs w:val="21"/>
                    </w:rPr>
                    <w:t>适用要求</w:t>
                  </w:r>
                </w:p>
              </w:tc>
              <w:tc>
                <w:tcPr>
                  <w:tcW w:w="967" w:type="dxa"/>
                </w:tcPr>
                <w:p>
                  <w:pPr>
                    <w:pStyle w:val="15"/>
                    <w:spacing w:line="340" w:lineRule="exact"/>
                    <w:jc w:val="both"/>
                    <w:rPr>
                      <w:color w:val="auto"/>
                      <w:kern w:val="2"/>
                      <w:sz w:val="21"/>
                      <w:szCs w:val="21"/>
                      <w:lang w:val="en-GB"/>
                    </w:rPr>
                  </w:pPr>
                  <w:r>
                    <w:rPr>
                      <w:rFonts w:hint="eastAsia" w:hAnsi="宋体"/>
                      <w:b/>
                      <w:color w:val="auto"/>
                      <w:sz w:val="21"/>
                      <w:szCs w:val="21"/>
                    </w:rPr>
                    <w:t>■</w:t>
                  </w:r>
                  <w:r>
                    <w:rPr>
                      <w:rFonts w:hint="eastAsia"/>
                      <w:color w:val="auto"/>
                      <w:sz w:val="21"/>
                      <w:szCs w:val="21"/>
                    </w:rPr>
                    <w:t>满足</w:t>
                  </w:r>
                </w:p>
              </w:tc>
              <w:tc>
                <w:tcPr>
                  <w:tcW w:w="1134" w:type="dxa"/>
                </w:tcPr>
                <w:p>
                  <w:pPr>
                    <w:pStyle w:val="15"/>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5"/>
                    <w:spacing w:line="340" w:lineRule="exact"/>
                    <w:jc w:val="both"/>
                    <w:rPr>
                      <w:color w:val="auto"/>
                      <w:kern w:val="2"/>
                      <w:sz w:val="21"/>
                      <w:szCs w:val="21"/>
                      <w:lang w:val="en-GB"/>
                    </w:rPr>
                  </w:pPr>
                  <w:r>
                    <w:rPr>
                      <w:rFonts w:hint="eastAsia"/>
                      <w:color w:val="auto"/>
                      <w:sz w:val="21"/>
                      <w:szCs w:val="21"/>
                    </w:rPr>
                    <w:t>实现预期结果的能力</w:t>
                  </w:r>
                </w:p>
              </w:tc>
              <w:tc>
                <w:tcPr>
                  <w:tcW w:w="967" w:type="dxa"/>
                </w:tcPr>
                <w:p>
                  <w:pPr>
                    <w:pStyle w:val="15"/>
                    <w:spacing w:line="340" w:lineRule="exact"/>
                    <w:jc w:val="both"/>
                    <w:rPr>
                      <w:color w:val="auto"/>
                      <w:kern w:val="2"/>
                      <w:sz w:val="21"/>
                      <w:szCs w:val="21"/>
                      <w:lang w:val="en-GB"/>
                    </w:rPr>
                  </w:pPr>
                  <w:r>
                    <w:rPr>
                      <w:rFonts w:hint="eastAsia" w:hAnsi="宋体"/>
                      <w:b/>
                      <w:color w:val="auto"/>
                      <w:sz w:val="21"/>
                      <w:szCs w:val="21"/>
                    </w:rPr>
                    <w:t>■</w:t>
                  </w:r>
                  <w:r>
                    <w:rPr>
                      <w:rFonts w:hint="eastAsia"/>
                      <w:color w:val="auto"/>
                      <w:sz w:val="21"/>
                      <w:szCs w:val="21"/>
                    </w:rPr>
                    <w:t>满足</w:t>
                  </w:r>
                </w:p>
              </w:tc>
              <w:tc>
                <w:tcPr>
                  <w:tcW w:w="1134" w:type="dxa"/>
                </w:tcPr>
                <w:p>
                  <w:pPr>
                    <w:pStyle w:val="15"/>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5"/>
                    <w:spacing w:line="340" w:lineRule="exact"/>
                    <w:jc w:val="both"/>
                    <w:rPr>
                      <w:color w:val="auto"/>
                      <w:kern w:val="2"/>
                      <w:sz w:val="21"/>
                      <w:szCs w:val="21"/>
                      <w:lang w:val="en-GB"/>
                    </w:rPr>
                  </w:pPr>
                  <w:r>
                    <w:rPr>
                      <w:rFonts w:hint="eastAsia"/>
                      <w:color w:val="auto"/>
                      <w:sz w:val="21"/>
                      <w:szCs w:val="21"/>
                    </w:rPr>
                    <w:t>内部审核和管理评审过程</w:t>
                  </w:r>
                </w:p>
              </w:tc>
              <w:tc>
                <w:tcPr>
                  <w:tcW w:w="967" w:type="dxa"/>
                </w:tcPr>
                <w:p>
                  <w:pPr>
                    <w:pStyle w:val="15"/>
                    <w:spacing w:line="340" w:lineRule="exact"/>
                    <w:jc w:val="both"/>
                    <w:rPr>
                      <w:color w:val="auto"/>
                      <w:kern w:val="2"/>
                      <w:sz w:val="21"/>
                      <w:szCs w:val="21"/>
                      <w:lang w:val="en-GB"/>
                    </w:rPr>
                  </w:pPr>
                  <w:r>
                    <w:rPr>
                      <w:rFonts w:hint="eastAsia" w:hAnsi="宋体"/>
                      <w:b/>
                      <w:color w:val="auto"/>
                      <w:sz w:val="21"/>
                      <w:szCs w:val="21"/>
                    </w:rPr>
                    <w:t>■</w:t>
                  </w:r>
                  <w:r>
                    <w:rPr>
                      <w:rFonts w:hint="eastAsia"/>
                      <w:color w:val="auto"/>
                      <w:sz w:val="21"/>
                      <w:szCs w:val="21"/>
                    </w:rPr>
                    <w:t>有效</w:t>
                  </w:r>
                </w:p>
              </w:tc>
              <w:tc>
                <w:tcPr>
                  <w:tcW w:w="1134" w:type="dxa"/>
                </w:tcPr>
                <w:p>
                  <w:pPr>
                    <w:pStyle w:val="15"/>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5"/>
                    <w:spacing w:line="340" w:lineRule="exact"/>
                    <w:jc w:val="both"/>
                    <w:rPr>
                      <w:color w:val="auto"/>
                      <w:kern w:val="2"/>
                      <w:sz w:val="21"/>
                      <w:szCs w:val="21"/>
                      <w:lang w:val="en-GB"/>
                    </w:rPr>
                  </w:pPr>
                  <w:r>
                    <w:rPr>
                      <w:rFonts w:hint="eastAsia"/>
                      <w:color w:val="auto"/>
                      <w:sz w:val="21"/>
                      <w:szCs w:val="21"/>
                    </w:rPr>
                    <w:t>审核目的</w:t>
                  </w:r>
                </w:p>
              </w:tc>
              <w:tc>
                <w:tcPr>
                  <w:tcW w:w="967" w:type="dxa"/>
                </w:tcPr>
                <w:p>
                  <w:pPr>
                    <w:pStyle w:val="15"/>
                    <w:spacing w:line="340" w:lineRule="exact"/>
                    <w:jc w:val="both"/>
                    <w:rPr>
                      <w:color w:val="auto"/>
                      <w:kern w:val="2"/>
                      <w:sz w:val="21"/>
                      <w:szCs w:val="21"/>
                      <w:lang w:val="en-GB"/>
                    </w:rPr>
                  </w:pPr>
                  <w:r>
                    <w:rPr>
                      <w:rFonts w:hint="eastAsia" w:hAnsi="宋体"/>
                      <w:b/>
                      <w:color w:val="auto"/>
                      <w:sz w:val="21"/>
                      <w:szCs w:val="21"/>
                    </w:rPr>
                    <w:t>■</w:t>
                  </w:r>
                  <w:r>
                    <w:rPr>
                      <w:rFonts w:hint="eastAsia"/>
                      <w:color w:val="auto"/>
                      <w:sz w:val="21"/>
                      <w:szCs w:val="21"/>
                    </w:rPr>
                    <w:t>达到</w:t>
                  </w:r>
                </w:p>
              </w:tc>
              <w:tc>
                <w:tcPr>
                  <w:tcW w:w="1134" w:type="dxa"/>
                </w:tcPr>
                <w:p>
                  <w:pPr>
                    <w:pStyle w:val="15"/>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5"/>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5"/>
                    <w:spacing w:line="340" w:lineRule="exact"/>
                    <w:jc w:val="both"/>
                    <w:rPr>
                      <w:color w:val="auto"/>
                      <w:kern w:val="2"/>
                      <w:sz w:val="21"/>
                      <w:szCs w:val="21"/>
                      <w:lang w:val="en-GB"/>
                    </w:rPr>
                  </w:pPr>
                  <w:r>
                    <w:rPr>
                      <w:rFonts w:hint="eastAsia" w:hAnsi="宋体"/>
                      <w:b/>
                      <w:color w:val="auto"/>
                      <w:sz w:val="21"/>
                      <w:szCs w:val="21"/>
                    </w:rPr>
                    <w:t>■</w:t>
                  </w:r>
                  <w:r>
                    <w:rPr>
                      <w:rFonts w:hint="eastAsia"/>
                      <w:color w:val="auto"/>
                      <w:sz w:val="21"/>
                      <w:szCs w:val="21"/>
                    </w:rPr>
                    <w:t>有效</w:t>
                  </w:r>
                </w:p>
              </w:tc>
              <w:tc>
                <w:tcPr>
                  <w:tcW w:w="1134" w:type="dxa"/>
                </w:tcPr>
                <w:p>
                  <w:pPr>
                    <w:pStyle w:val="15"/>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无效</w:t>
                  </w:r>
                </w:p>
              </w:tc>
            </w:tr>
          </w:tbl>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50" w:firstLineChars="250"/>
        <w:rPr>
          <w:b/>
          <w:sz w:val="21"/>
        </w:rPr>
      </w:pPr>
      <w:r>
        <w:rPr>
          <w:rFonts w:hint="eastAsia"/>
          <w:sz w:val="22"/>
          <w:szCs w:val="22"/>
        </w:rPr>
        <w:drawing>
          <wp:anchor distT="0" distB="0" distL="114300" distR="114300" simplePos="0" relativeHeight="251663360" behindDoc="0" locked="0" layoutInCell="1" allowOverlap="1">
            <wp:simplePos x="0" y="0"/>
            <wp:positionH relativeFrom="column">
              <wp:posOffset>1755775</wp:posOffset>
            </wp:positionH>
            <wp:positionV relativeFrom="paragraph">
              <wp:posOffset>22860</wp:posOffset>
            </wp:positionV>
            <wp:extent cx="691515" cy="222885"/>
            <wp:effectExtent l="0" t="0" r="6985" b="5715"/>
            <wp:wrapNone/>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600" w:firstLineChars="250"/>
        <w:rPr>
          <w:b/>
          <w:sz w:val="21"/>
        </w:rPr>
      </w:pPr>
      <w:r>
        <w:drawing>
          <wp:anchor distT="0" distB="0" distL="114300" distR="114300" simplePos="0" relativeHeight="251662336" behindDoc="0" locked="0" layoutInCell="1" allowOverlap="1">
            <wp:simplePos x="0" y="0"/>
            <wp:positionH relativeFrom="column">
              <wp:posOffset>1685925</wp:posOffset>
            </wp:positionH>
            <wp:positionV relativeFrom="paragraph">
              <wp:posOffset>191770</wp:posOffset>
            </wp:positionV>
            <wp:extent cx="908050" cy="61595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08050" cy="61595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2021.4.14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9635E"/>
    <w:multiLevelType w:val="singleLevel"/>
    <w:tmpl w:val="A329635E"/>
    <w:lvl w:ilvl="0" w:tentative="0">
      <w:start w:val="9"/>
      <w:numFmt w:val="decimal"/>
      <w:suff w:val="space"/>
      <w:lvlText w:val="%1."/>
      <w:lvlJc w:val="left"/>
    </w:lvl>
  </w:abstractNum>
  <w:abstractNum w:abstractNumId="1">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81F77F"/>
    <w:multiLevelType w:val="singleLevel"/>
    <w:tmpl w:val="3381F77F"/>
    <w:lvl w:ilvl="0" w:tentative="0">
      <w:start w:val="4"/>
      <w:numFmt w:val="decimal"/>
      <w:suff w:val="space"/>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734D19D3"/>
    <w:multiLevelType w:val="multilevel"/>
    <w:tmpl w:val="734D19D3"/>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6201C1"/>
    <w:rsid w:val="46A94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2021-04-26T11:13:27Z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3BADA5F3D6764E3CBBEE1CDE30ECDA1F</vt:lpwstr>
  </property>
</Properties>
</file>