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0293-2021-QEO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四川瑞百丽尚品家具有限公司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向晓峰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Q:23.01.01,23.01.02,23.01.03,23.01.04,23.06.00,28.08.02</w:t>
            </w:r>
          </w:p>
          <w:p>
            <w:pPr>
              <w:spacing w:line="240" w:lineRule="exact"/>
              <w:jc w:val="center"/>
              <w:rPr>
                <w:b/>
                <w:color w:val="000000"/>
                <w:sz w:val="20"/>
                <w:szCs w:val="20"/>
              </w:rPr>
            </w:pPr>
            <w:r>
              <w:rPr>
                <w:b/>
                <w:color w:val="000000"/>
                <w:sz w:val="20"/>
                <w:szCs w:val="20"/>
              </w:rPr>
              <w:t>E:23.01.01,23.01.02,23.01.03,23.01.04,23.06.00,28.08.02</w:t>
            </w:r>
          </w:p>
          <w:p>
            <w:pPr>
              <w:spacing w:line="240" w:lineRule="exact"/>
              <w:jc w:val="center"/>
              <w:rPr>
                <w:b/>
                <w:color w:val="000000"/>
                <w:sz w:val="20"/>
                <w:szCs w:val="20"/>
              </w:rPr>
            </w:pPr>
            <w:r>
              <w:rPr>
                <w:b/>
                <w:color w:val="000000"/>
                <w:sz w:val="20"/>
                <w:szCs w:val="20"/>
              </w:rPr>
              <w:t>O:23.01.01,23.01.02,23.01.03,23.01.04,23.06.00,28.08.02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四川瑞百丽尚品家具有限公司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成都崇州经济开发区晨曦大道中段1175号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成都崇州经济开发区晨曦大道中段1175号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r>
              <w:rPr>
                <w:rFonts w:ascii="宋体"/>
                <w:b/>
                <w:color w:val="000000"/>
                <w:sz w:val="20"/>
                <w:szCs w:val="20"/>
              </w:rPr>
              <w:t>611200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成都崇州经济开发区晨曦大道中段1175号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611200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易秀珍</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028-8681309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彭宏</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易秀珍</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229055145@qq.com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w:t>
            </w:r>
          </w:p>
          <w:p>
            <w:pPr>
              <w:spacing w:line="400" w:lineRule="exact"/>
              <w:rPr>
                <w:rFonts w:ascii="宋体" w:hAnsi="宋体"/>
                <w:b/>
                <w:color w:val="000000"/>
                <w:sz w:val="20"/>
                <w:szCs w:val="20"/>
              </w:rPr>
            </w:pPr>
            <w:r>
              <w:rPr>
                <w:rFonts w:ascii="宋体" w:hAnsi="宋体"/>
                <w:b/>
                <w:color w:val="000000"/>
                <w:sz w:val="20"/>
                <w:szCs w:val="20"/>
              </w:rPr>
              <w:t>E：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Q：23.01.01;23.01.02;23.01.03;23.01.04;23.06.00;28.08.02;29.12.00</w:t>
            </w:r>
          </w:p>
          <w:p>
            <w:pPr>
              <w:spacing w:line="280" w:lineRule="exact"/>
              <w:rPr>
                <w:rFonts w:ascii="宋体"/>
                <w:b/>
                <w:color w:val="000000"/>
                <w:sz w:val="20"/>
                <w:szCs w:val="20"/>
              </w:rPr>
            </w:pPr>
            <w:r>
              <w:rPr>
                <w:rFonts w:ascii="宋体"/>
                <w:b/>
                <w:color w:val="000000"/>
                <w:sz w:val="20"/>
                <w:szCs w:val="20"/>
              </w:rPr>
              <w:t>E：23.01.01;23.01.02;23.01.03;23.01.04;23.06.00;28.08.02;29.12.00</w:t>
            </w:r>
          </w:p>
          <w:p>
            <w:pPr>
              <w:spacing w:line="280" w:lineRule="exact"/>
              <w:rPr>
                <w:rFonts w:ascii="宋体"/>
                <w:b/>
                <w:color w:val="000000"/>
                <w:sz w:val="20"/>
                <w:szCs w:val="20"/>
              </w:rPr>
            </w:pPr>
            <w:r>
              <w:rPr>
                <w:rFonts w:ascii="宋体"/>
                <w:b/>
                <w:color w:val="000000"/>
                <w:sz w:val="20"/>
                <w:szCs w:val="20"/>
              </w:rPr>
              <w:t>O：23.01.01;23.01.02;23.01.03;23.01.04;23.06.00;28.08.02;29.12.00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ascii="宋体"/>
                <w:b/>
                <w:color w:val="000000"/>
                <w:sz w:val="20"/>
                <w:szCs w:val="20"/>
              </w:rPr>
              <w:t>成都崇州经济开发区晨曦大道中段1175号</w:t>
            </w:r>
          </w:p>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部门：行政人事部、生产部、采购部、营销中心、技术质量部、财务部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办公大楼、生产车间、环保设备实施</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公司部门设置：行政人事部、生产部、采购部、营销中心、技术质量部、财务部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管理体系推进部门：行政人事部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质量管理部门：技术质量部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环境管理主管部门：行政人事部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职业健康安全主管部门：行政人事部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客户的场所：成都崇州经济开发区晨曦大道中段1175号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受审核方位于：成都崇州经济开发区晨曦大道中段1175号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b/>
          <w:color w:val="000000"/>
          <w:sz w:val="22"/>
          <w:szCs w:val="22"/>
        </w:rPr>
      </w:pPr>
    </w:p>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auto"/>
                <w:spacing w:val="-10"/>
                <w:sz w:val="20"/>
                <w:szCs w:val="20"/>
              </w:rPr>
              <w:sym w:font="Wingdings 2" w:char="0052"/>
            </w:r>
            <w:r>
              <w:rPr>
                <w:rFonts w:hint="eastAsia" w:ascii="宋体" w:hAnsi="宋体"/>
                <w:color w:val="auto"/>
                <w:spacing w:val="-10"/>
                <w:sz w:val="20"/>
                <w:szCs w:val="20"/>
              </w:rPr>
              <w:t>产品技术标准号：木家具通用技术条件GB/T3324-2017、室内装饰装修材料 木家具中有害物质限量 GB18584-2001、办公家具 办公椅QB/T 2280-2016、餐桌餐椅GB/T 24821-2009、金属家具通用技术条件GB/T3325-2017、钢制书柜、资料柜通用技术条件GB/T13668-2015、课桌椅QB/T4071-2010、学校课桌椅功能尺寸及技术要求GB/T 3976-2014、软体家具 沙发QB/T 1952.1-2012、国家纺织产品基本安全技术规范GB18401-2010、儿童家具通用技术条件GB 28007-2011□合同：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污水排入城市下水道水质检测 GB/T 31962-2015、大气污染物综合排放标准 GB16297-1996、工业企业厂界环境噪声排放标准 GB 12348-2003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auto"/>
                <w:sz w:val="20"/>
                <w:szCs w:val="20"/>
              </w:rPr>
            </w:pPr>
            <w:r>
              <w:rPr>
                <w:rFonts w:hint="eastAsia" w:ascii="宋体"/>
                <w:color w:val="auto"/>
                <w:sz w:val="20"/>
                <w:szCs w:val="20"/>
              </w:rPr>
              <w:t>是否有安全预评价报告，</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是否有安全现状评价报告，</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是否有消防验收报告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是否申报职业危害场所</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生产流程：开料-造型-封边-排孔-组装-包装入库</w:t>
            </w:r>
          </w:p>
          <w:p>
            <w:pPr>
              <w:rPr>
                <w:rFonts w:hint="eastAsia" w:ascii="宋体"/>
                <w:color w:val="000000"/>
                <w:sz w:val="20"/>
                <w:szCs w:val="20"/>
              </w:rPr>
            </w:pPr>
            <w:r>
              <w:rPr>
                <w:rFonts w:hint="eastAsia" w:ascii="宋体"/>
                <w:color w:val="000000"/>
                <w:sz w:val="20"/>
                <w:szCs w:val="20"/>
              </w:rPr>
              <w:t>木工板部分工艺流程：冷压贴面板(防火板)-开料-封边-排孔-打磨-底面漆-组装</w:t>
            </w:r>
          </w:p>
          <w:p>
            <w:pPr>
              <w:rPr>
                <w:rFonts w:hint="eastAsia" w:ascii="宋体"/>
                <w:color w:val="000000"/>
                <w:sz w:val="20"/>
                <w:szCs w:val="20"/>
              </w:rPr>
            </w:pPr>
            <w:r>
              <w:rPr>
                <w:rFonts w:hint="eastAsia" w:ascii="宋体"/>
                <w:color w:val="000000"/>
                <w:sz w:val="20"/>
                <w:szCs w:val="20"/>
              </w:rPr>
              <w:t>铁件加工流程：下料-钻孔攻丝-焊接-打磨抛光-喷塑-烘烤-检验-组装</w:t>
            </w:r>
          </w:p>
          <w:p>
            <w:pPr>
              <w:rPr>
                <w:rFonts w:hint="eastAsia" w:ascii="宋体"/>
                <w:color w:val="000000"/>
                <w:sz w:val="20"/>
                <w:szCs w:val="20"/>
              </w:rPr>
            </w:pPr>
            <w:r>
              <w:rPr>
                <w:rFonts w:hint="eastAsia" w:ascii="宋体"/>
                <w:color w:val="000000"/>
                <w:sz w:val="20"/>
                <w:szCs w:val="20"/>
              </w:rPr>
              <w:t>金属加工：下料-钻孔-焊接-成型-喷塑-烘烤-检验-组装-检验-包装-入库</w:t>
            </w:r>
          </w:p>
          <w:p>
            <w:pPr>
              <w:rPr>
                <w:rFonts w:hint="eastAsia" w:ascii="宋体"/>
                <w:color w:val="000000"/>
                <w:sz w:val="20"/>
                <w:szCs w:val="20"/>
              </w:rPr>
            </w:pPr>
            <w:r>
              <w:rPr>
                <w:rFonts w:hint="eastAsia" w:ascii="宋体"/>
                <w:color w:val="000000"/>
                <w:sz w:val="20"/>
                <w:szCs w:val="20"/>
              </w:rPr>
              <w:t>木工加工：下料-钻孔-组装-检验</w:t>
            </w:r>
          </w:p>
          <w:p>
            <w:pPr>
              <w:rPr>
                <w:rFonts w:hint="eastAsia" w:ascii="宋体"/>
                <w:color w:val="000000"/>
                <w:sz w:val="20"/>
                <w:szCs w:val="20"/>
              </w:rPr>
            </w:pPr>
            <w:r>
              <w:rPr>
                <w:rFonts w:hint="eastAsia" w:ascii="宋体"/>
                <w:color w:val="000000"/>
                <w:sz w:val="20"/>
                <w:szCs w:val="20"/>
              </w:rPr>
              <w:t xml:space="preserve">木床生产流程：下料-钻孔-封边-贴纸-油漆-组装-包装  </w:t>
            </w:r>
          </w:p>
          <w:p>
            <w:pPr>
              <w:rPr>
                <w:rFonts w:hint="eastAsia" w:ascii="宋体"/>
                <w:color w:val="000000"/>
                <w:sz w:val="20"/>
                <w:szCs w:val="20"/>
              </w:rPr>
            </w:pPr>
            <w:r>
              <w:rPr>
                <w:rFonts w:hint="eastAsia" w:ascii="宋体"/>
                <w:color w:val="000000"/>
                <w:sz w:val="20"/>
                <w:szCs w:val="20"/>
              </w:rPr>
              <w:t>铁床：开料-成型-打磨-核正-焊接-打砂-喷塑-烘烤-检验-组装-打包-入库</w:t>
            </w:r>
          </w:p>
          <w:p>
            <w:pPr>
              <w:rPr>
                <w:rFonts w:hint="eastAsia" w:ascii="宋体"/>
                <w:color w:val="000000"/>
                <w:sz w:val="20"/>
                <w:szCs w:val="20"/>
              </w:rPr>
            </w:pPr>
            <w:r>
              <w:rPr>
                <w:rFonts w:hint="eastAsia" w:ascii="宋体"/>
                <w:color w:val="000000"/>
                <w:sz w:val="20"/>
                <w:szCs w:val="20"/>
              </w:rPr>
              <w:t>木质办公家具：下料-封边-冷压-造型-排孔-组装-检验-组装-打包-入库</w:t>
            </w:r>
          </w:p>
          <w:p>
            <w:pPr>
              <w:rPr>
                <w:rFonts w:ascii="宋体"/>
                <w:color w:val="000000"/>
                <w:sz w:val="20"/>
                <w:szCs w:val="20"/>
              </w:rPr>
            </w:pPr>
            <w:r>
              <w:rPr>
                <w:rFonts w:hint="eastAsia" w:ascii="宋体"/>
                <w:color w:val="000000"/>
                <w:sz w:val="20"/>
                <w:szCs w:val="20"/>
              </w:rPr>
              <w:t>软体沙发：裁剪-缝制-绷皮-板材开料-打孔-钉架-成型-海绵选料-裁剪-粘连-组装-检验-包装-入库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外包过程有：油漆、表面处理、金属件焊接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是否明确了外包过程的控制方法：外部供方控制程序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color w:val="000000"/>
                <w:spacing w:val="-10"/>
                <w:sz w:val="20"/>
                <w:szCs w:val="20"/>
                <w:lang w:val="en-US"/>
              </w:rPr>
            </w:pPr>
            <w:r>
              <w:rPr>
                <w:rFonts w:hint="eastAsia" w:ascii="宋体" w:hAnsi="宋体"/>
                <w:color w:val="000000"/>
                <w:spacing w:val="-10"/>
                <w:sz w:val="20"/>
                <w:szCs w:val="20"/>
              </w:rPr>
              <w:t>主要设备：</w:t>
            </w:r>
            <w:r>
              <w:rPr>
                <w:rFonts w:hint="eastAsia"/>
                <w:color w:val="auto"/>
                <w:szCs w:val="21"/>
                <w:lang w:val="en-US" w:eastAsia="zh-CN"/>
              </w:rPr>
              <w:t>液压升降平台、欧登多下料锯、电子开料锯、往复锯、螺杆式50T冷压机、青城牌铣床、切割机、砂带机、牧田大锣机、牧田锣机、锣机、马氏镂铣机、大有曲线锯、震帮牌下料锯、推台锯、创星雕刻机、雕刻机(锣机)、极东封边机WDX328A、封边机、南兴手动封边机、上下同心钻、威德力吸尘器、台式钻床、资阳6.3T冲床、冲床、铝材角度切割机、牧田铝材切割机、开式可倾压刀机、螺杆空压机、台钻、吸尘器、打包机、空压机、铆爪母机、450带锯、海菱牌电动针车、60L喷胶机、马氏六排钻、东全自动六排钻、迪码牌三排钻、木工除尘器、废气处理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color w:val="auto"/>
                <w:szCs w:val="21"/>
                <w:lang w:val="en-US" w:eastAsia="zh-CN"/>
              </w:rPr>
              <w:t>空压机—（空气过滤器）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color w:val="auto"/>
                <w:szCs w:val="21"/>
                <w:lang w:eastAsia="zh-CN"/>
              </w:rPr>
              <w:t>钢卷尺、游标卡尺、外径千分尺、电子称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Theme="minorEastAsia" w:hAnsiTheme="minorEastAsia" w:eastAsiaTheme="minorEastAsia" w:cstheme="minorEastAsia"/>
                <w:color w:val="auto"/>
                <w:sz w:val="21"/>
                <w:szCs w:val="21"/>
                <w:lang w:val="en-US" w:eastAsia="zh-CN"/>
              </w:rPr>
              <w:t>固废、火灾、噪音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w:t>
            </w:r>
            <w:r>
              <w:rPr>
                <w:rFonts w:hint="eastAsia" w:ascii="宋体" w:hAnsi="Times New Roman" w:eastAsia="宋体" w:cs="Times New Roman"/>
                <w:color w:val="000000"/>
                <w:sz w:val="20"/>
                <w:szCs w:val="20"/>
              </w:rPr>
              <w:t>控制程序：环境运行控制程序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w:t>
            </w:r>
            <w:r>
              <w:rPr>
                <w:rFonts w:hint="eastAsia" w:ascii="宋体"/>
                <w:color w:val="000000"/>
                <w:sz w:val="20"/>
                <w:szCs w:val="20"/>
              </w:rPr>
              <w:sym w:font="Wingdings 2" w:char="0052"/>
            </w:r>
            <w:r>
              <w:rPr>
                <w:rFonts w:hint="eastAsia" w:ascii="宋体"/>
                <w:color w:val="000000"/>
                <w:sz w:val="20"/>
                <w:szCs w:val="20"/>
              </w:rPr>
              <w:t>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Theme="minorEastAsia" w:hAnsiTheme="minorEastAsia" w:eastAsiaTheme="minorEastAsia" w:cstheme="minorEastAsia"/>
                <w:color w:val="auto"/>
                <w:sz w:val="21"/>
                <w:szCs w:val="21"/>
              </w:rPr>
              <w:t>火灾、触电</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针对不可接受风险建立了运行控制程序：员工健康管理与控制程序、危险作业控制程序、职工思想及行为管理程序、劳动保护和劳动监察管理程序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63</w:t>
            </w:r>
            <w:r>
              <w:rPr>
                <w:rFonts w:hint="eastAsia" w:ascii="宋体"/>
                <w:color w:val="000000"/>
                <w:sz w:val="20"/>
                <w:szCs w:val="20"/>
              </w:rPr>
              <w:t>人，其中管理人员：</w:t>
            </w:r>
            <w:r>
              <w:rPr>
                <w:rFonts w:hint="eastAsia" w:ascii="宋体"/>
                <w:color w:val="000000"/>
                <w:sz w:val="20"/>
                <w:szCs w:val="20"/>
                <w:lang w:val="en-US" w:eastAsia="zh-CN"/>
              </w:rPr>
              <w:t>10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重点审核部门：行政人事部、生产部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研发、生产、销售、安装、维护过程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办公区域、生产区域等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重点审核部门：行政人事部、生产部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消防设施、环保设施区域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重点审核部门：行政人事部、生产部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消防设施</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rPr>
              <w:t>制定了内部审核计划，内审时间为</w:t>
            </w:r>
            <w:r>
              <w:rPr>
                <w:rFonts w:ascii="宋体" w:hAnsi="宋体"/>
                <w:b w:val="0"/>
                <w:bCs/>
                <w:color w:val="000000"/>
                <w:sz w:val="20"/>
                <w:szCs w:val="20"/>
              </w:rPr>
              <w:t>20</w:t>
            </w:r>
            <w:r>
              <w:rPr>
                <w:rFonts w:hint="eastAsia" w:ascii="宋体" w:hAnsi="宋体"/>
                <w:b w:val="0"/>
                <w:bCs/>
                <w:color w:val="000000"/>
                <w:sz w:val="20"/>
                <w:szCs w:val="20"/>
              </w:rPr>
              <w:t>2</w:t>
            </w:r>
            <w:r>
              <w:rPr>
                <w:rFonts w:hint="eastAsia" w:ascii="宋体" w:hAnsi="宋体"/>
                <w:b w:val="0"/>
                <w:bCs/>
                <w:color w:val="000000"/>
                <w:sz w:val="20"/>
                <w:szCs w:val="20"/>
                <w:lang w:val="en-US" w:eastAsia="zh-CN"/>
              </w:rPr>
              <w:t>1</w:t>
            </w:r>
            <w:r>
              <w:rPr>
                <w:rFonts w:hint="eastAsia" w:ascii="宋体" w:hAnsi="宋体"/>
                <w:b w:val="0"/>
                <w:bCs/>
                <w:color w:val="000000"/>
                <w:sz w:val="20"/>
                <w:szCs w:val="20"/>
              </w:rPr>
              <w:t>年</w:t>
            </w:r>
            <w:r>
              <w:rPr>
                <w:rFonts w:hint="eastAsia" w:ascii="宋体" w:hAnsi="宋体"/>
                <w:b w:val="0"/>
                <w:bCs/>
                <w:color w:val="000000"/>
                <w:sz w:val="20"/>
                <w:szCs w:val="20"/>
                <w:lang w:val="en-US" w:eastAsia="zh-CN"/>
              </w:rPr>
              <w:t>3</w:t>
            </w:r>
            <w:r>
              <w:rPr>
                <w:rFonts w:hint="eastAsia" w:ascii="宋体" w:hAnsi="宋体"/>
                <w:b w:val="0"/>
                <w:bCs/>
                <w:color w:val="000000"/>
                <w:sz w:val="20"/>
                <w:szCs w:val="20"/>
              </w:rPr>
              <w:t>月</w:t>
            </w:r>
            <w:r>
              <w:rPr>
                <w:rFonts w:hint="eastAsia" w:ascii="宋体" w:hAnsi="宋体"/>
                <w:b w:val="0"/>
                <w:bCs/>
                <w:color w:val="000000"/>
                <w:sz w:val="20"/>
                <w:szCs w:val="20"/>
                <w:lang w:val="en-US" w:eastAsia="zh-CN"/>
              </w:rPr>
              <w:t>4</w:t>
            </w:r>
            <w:r>
              <w:rPr>
                <w:rFonts w:hint="eastAsia" w:ascii="宋体" w:hAnsi="宋体"/>
                <w:b w:val="0"/>
                <w:bCs/>
                <w:color w:val="000000"/>
                <w:sz w:val="20"/>
                <w:szCs w:val="20"/>
              </w:rPr>
              <w:t>日-</w:t>
            </w:r>
            <w:r>
              <w:rPr>
                <w:rFonts w:hint="eastAsia" w:ascii="宋体" w:hAnsi="宋体"/>
                <w:b w:val="0"/>
                <w:bCs/>
                <w:color w:val="000000"/>
                <w:sz w:val="20"/>
                <w:szCs w:val="20"/>
                <w:lang w:val="en-US" w:eastAsia="zh-CN"/>
              </w:rPr>
              <w:t>5</w:t>
            </w:r>
            <w:r>
              <w:rPr>
                <w:rFonts w:hint="eastAsia" w:ascii="宋体" w:hAnsi="宋体"/>
                <w:b w:val="0"/>
                <w:bCs/>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均覆盖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0"/>
                <w:szCs w:val="20"/>
              </w:rPr>
              <w:t>公司GB/T 19001-2016/ISO9001：2015、GB/T 24001-2016/ISO 14001：2015、GB/T 45001-2020/ISO45001:2018审核范围内基本符合准则并得到实施，已具有满足顾客、相关方要求与法律法规的能力，已初步具有持续改进机制。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r>
              <w:rPr>
                <w:rFonts w:hint="eastAsia" w:ascii="宋体" w:hAnsi="宋体"/>
                <w:b w:val="0"/>
                <w:bCs/>
                <w:color w:val="000000"/>
                <w:sz w:val="20"/>
                <w:szCs w:val="20"/>
              </w:rPr>
              <w:t xml:space="preserve"> 制定了管理评审计划，管理评审时间为202</w:t>
            </w:r>
            <w:r>
              <w:rPr>
                <w:rFonts w:hint="eastAsia" w:ascii="宋体" w:hAnsi="宋体"/>
                <w:b w:val="0"/>
                <w:bCs/>
                <w:color w:val="000000"/>
                <w:sz w:val="20"/>
                <w:szCs w:val="20"/>
                <w:lang w:val="en-US" w:eastAsia="zh-CN"/>
              </w:rPr>
              <w:t>1</w:t>
            </w:r>
            <w:r>
              <w:rPr>
                <w:rFonts w:hint="eastAsia" w:ascii="宋体" w:hAnsi="宋体"/>
                <w:b w:val="0"/>
                <w:bCs/>
                <w:color w:val="000000"/>
                <w:sz w:val="20"/>
                <w:szCs w:val="20"/>
              </w:rPr>
              <w:t>年</w:t>
            </w:r>
            <w:r>
              <w:rPr>
                <w:rFonts w:hint="eastAsia" w:ascii="宋体" w:hAnsi="宋体"/>
                <w:b w:val="0"/>
                <w:bCs/>
                <w:color w:val="000000"/>
                <w:sz w:val="20"/>
                <w:szCs w:val="20"/>
                <w:lang w:val="en-US" w:eastAsia="zh-CN"/>
              </w:rPr>
              <w:t>3</w:t>
            </w:r>
            <w:r>
              <w:rPr>
                <w:rFonts w:hint="eastAsia" w:ascii="宋体" w:hAnsi="宋体"/>
                <w:b w:val="0"/>
                <w:bCs/>
                <w:color w:val="000000"/>
                <w:sz w:val="20"/>
                <w:szCs w:val="20"/>
              </w:rPr>
              <w:t>月</w:t>
            </w:r>
            <w:r>
              <w:rPr>
                <w:rFonts w:hint="eastAsia" w:ascii="宋体" w:hAnsi="宋体"/>
                <w:b w:val="0"/>
                <w:bCs/>
                <w:color w:val="000000"/>
                <w:sz w:val="20"/>
                <w:szCs w:val="20"/>
                <w:lang w:val="en-US" w:eastAsia="zh-CN"/>
              </w:rPr>
              <w:t>15</w:t>
            </w:r>
            <w:r>
              <w:rPr>
                <w:rFonts w:hint="eastAsia" w:ascii="宋体" w:hAnsi="宋体"/>
                <w:b w:val="0"/>
                <w:bCs/>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val="0"/>
                <w:bCs/>
                <w:color w:val="00000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hint="eastAsia" w:ascii="宋体" w:hAnsi="宋体"/>
                <w:b/>
                <w:color w:val="000000"/>
                <w:sz w:val="20"/>
                <w:szCs w:val="20"/>
                <w:lang w:val="en-US" w:eastAsia="zh-CN"/>
              </w:rPr>
              <w:t>：</w:t>
            </w:r>
            <w:r>
              <w:rPr>
                <w:rFonts w:ascii="宋体" w:hAnsi="宋体"/>
                <w:b w:val="0"/>
                <w:bCs/>
                <w:color w:val="000000"/>
                <w:sz w:val="21"/>
                <w:szCs w:val="21"/>
              </w:rPr>
              <w:t xml:space="preserve"> </w:t>
            </w:r>
            <w:r>
              <w:rPr>
                <w:rFonts w:hint="eastAsia" w:ascii="宋体" w:hAnsi="宋体"/>
                <w:b w:val="0"/>
                <w:bCs/>
                <w:color w:val="000000"/>
                <w:sz w:val="20"/>
                <w:szCs w:val="20"/>
              </w:rPr>
              <w:t>公司质量、环境和职业健康安全管理体系，从运行情况来看，公司的质量、环境和职业健康安全管理体系是持续适宜的、充分的和有效的，能满足公司经营、环境保护和职业健康安全管理的要求，并实施持续改进措施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eastAsia="宋体"/>
          <w:b/>
          <w:color w:val="000000"/>
          <w:sz w:val="20"/>
          <w:szCs w:val="20"/>
          <w:lang w:eastAsia="zh-CN"/>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w:t>
      </w:r>
      <w:r>
        <w:rPr>
          <w:rFonts w:hint="eastAsia" w:ascii="宋体" w:hAnsi="宋体"/>
          <w:b/>
          <w:color w:val="000000"/>
          <w:sz w:val="20"/>
          <w:szCs w:val="20"/>
          <w:lang w:eastAsia="zh-CN"/>
        </w:rPr>
        <w:t>；</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1722755</wp:posOffset>
            </wp:positionH>
            <wp:positionV relativeFrom="paragraph">
              <wp:posOffset>294005</wp:posOffset>
            </wp:positionV>
            <wp:extent cx="473710" cy="363855"/>
            <wp:effectExtent l="0" t="0" r="8890" b="4445"/>
            <wp:wrapNone/>
            <wp:docPr id="4" name="图片 4"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李俐"/>
                    <pic:cNvPicPr>
                      <a:picLocks noChangeAspect="1"/>
                    </pic:cNvPicPr>
                  </pic:nvPicPr>
                  <pic:blipFill>
                    <a:blip r:embed="rId6"/>
                    <a:stretch>
                      <a:fillRect/>
                    </a:stretch>
                  </pic:blipFill>
                  <pic:spPr>
                    <a:xfrm>
                      <a:off x="0" y="0"/>
                      <a:ext cx="473710" cy="36385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3479165</wp:posOffset>
            </wp:positionH>
            <wp:positionV relativeFrom="paragraph">
              <wp:posOffset>52705</wp:posOffset>
            </wp:positionV>
            <wp:extent cx="800100" cy="615950"/>
            <wp:effectExtent l="0" t="0" r="0" b="6350"/>
            <wp:wrapNone/>
            <wp:docPr id="1" name="图片 1" descr="向晓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向晓峰"/>
                    <pic:cNvPicPr>
                      <a:picLocks noChangeAspect="1"/>
                    </pic:cNvPicPr>
                  </pic:nvPicPr>
                  <pic:blipFill>
                    <a:blip r:embed="rId7"/>
                    <a:stretch>
                      <a:fillRect/>
                    </a:stretch>
                  </pic:blipFill>
                  <pic:spPr>
                    <a:xfrm>
                      <a:off x="0" y="0"/>
                      <a:ext cx="800100" cy="61595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1722755</wp:posOffset>
            </wp:positionH>
            <wp:positionV relativeFrom="paragraph">
              <wp:posOffset>55245</wp:posOffset>
            </wp:positionV>
            <wp:extent cx="668020" cy="554355"/>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8"/>
                    <a:stretch>
                      <a:fillRect/>
                    </a:stretch>
                  </pic:blipFill>
                  <pic:spPr>
                    <a:xfrm>
                      <a:off x="0" y="0"/>
                      <a:ext cx="668020" cy="5543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2569845</wp:posOffset>
            </wp:positionH>
            <wp:positionV relativeFrom="paragraph">
              <wp:posOffset>225425</wp:posOffset>
            </wp:positionV>
            <wp:extent cx="812800" cy="279400"/>
            <wp:effectExtent l="0" t="0" r="0" b="0"/>
            <wp:wrapNone/>
            <wp:docPr id="5" name="图片 5" descr="宋明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宋明珠"/>
                    <pic:cNvPicPr>
                      <a:picLocks noChangeAspect="1"/>
                    </pic:cNvPicPr>
                  </pic:nvPicPr>
                  <pic:blipFill>
                    <a:blip r:embed="rId9"/>
                    <a:stretch>
                      <a:fillRect/>
                    </a:stretch>
                  </pic:blipFill>
                  <pic:spPr>
                    <a:xfrm>
                      <a:off x="0" y="0"/>
                      <a:ext cx="812800" cy="27940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7168" w:firstLineChars="3400"/>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2021.3.11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427"/>
        <w:gridCol w:w="1942"/>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427"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42"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spacing w:before="40" w:after="40"/>
              <w:rPr>
                <w:rFonts w:hint="eastAsia" w:ascii="宋体" w:hAnsi="宋体" w:eastAsia="宋体" w:cs="Times New Roman"/>
                <w:kern w:val="2"/>
                <w:sz w:val="21"/>
                <w:szCs w:val="24"/>
                <w:lang w:val="en-US" w:eastAsia="zh-CN" w:bidi="ar-SA"/>
              </w:rPr>
            </w:pPr>
          </w:p>
        </w:tc>
        <w:tc>
          <w:tcPr>
            <w:tcW w:w="5427" w:type="dxa"/>
            <w:vAlign w:val="top"/>
          </w:tcPr>
          <w:p>
            <w:pPr>
              <w:spacing w:before="40" w:after="40"/>
              <w:rPr>
                <w:rFonts w:hint="default" w:ascii="宋体" w:hAnsi="宋体" w:eastAsia="宋体" w:cs="Times New Roman"/>
                <w:kern w:val="2"/>
                <w:sz w:val="21"/>
                <w:szCs w:val="24"/>
                <w:lang w:val="en-US" w:eastAsia="zh-CN" w:bidi="ar-SA"/>
              </w:rPr>
            </w:pPr>
          </w:p>
        </w:tc>
        <w:tc>
          <w:tcPr>
            <w:tcW w:w="1942" w:type="dxa"/>
            <w:vAlign w:val="top"/>
          </w:tcPr>
          <w:p>
            <w:pPr>
              <w:spacing w:before="40" w:after="40"/>
              <w:rPr>
                <w:rFonts w:hint="eastAsia" w:ascii="宋体" w:hAnsi="宋体"/>
                <w:sz w:val="21"/>
              </w:rPr>
            </w:pPr>
          </w:p>
          <w:p>
            <w:pPr>
              <w:spacing w:before="40" w:after="40"/>
              <w:rPr>
                <w:rFonts w:hint="eastAsia" w:ascii="宋体" w:hAnsi="宋体"/>
                <w:sz w:val="21"/>
              </w:rPr>
            </w:pPr>
          </w:p>
          <w:p>
            <w:pPr>
              <w:spacing w:before="40" w:after="40"/>
              <w:rPr>
                <w:rFonts w:hint="eastAsia" w:ascii="宋体" w:hAnsi="宋体" w:eastAsia="宋体" w:cs="Times New Roman"/>
                <w:kern w:val="2"/>
                <w:sz w:val="21"/>
                <w:szCs w:val="24"/>
                <w:lang w:val="en-US" w:eastAsia="zh-CN" w:bidi="ar-SA"/>
              </w:rPr>
            </w:pPr>
          </w:p>
        </w:tc>
        <w:tc>
          <w:tcPr>
            <w:tcW w:w="1811" w:type="dxa"/>
            <w:vAlign w:val="top"/>
          </w:tcPr>
          <w:p>
            <w:pPr>
              <w:spacing w:before="40" w:after="40"/>
              <w:rPr>
                <w:rFonts w:hint="eastAsia"/>
                <w:sz w:val="21"/>
              </w:rPr>
            </w:pPr>
          </w:p>
          <w:p>
            <w:pPr>
              <w:spacing w:before="40" w:after="40"/>
              <w:rPr>
                <w:rFonts w:hint="eastAsia"/>
                <w:sz w:val="21"/>
              </w:rPr>
            </w:pPr>
          </w:p>
          <w:p>
            <w:pPr>
              <w:spacing w:before="40" w:after="40"/>
              <w:rPr>
                <w:rFonts w:hint="eastAsia"/>
                <w:sz w:val="21"/>
              </w:rPr>
            </w:pPr>
          </w:p>
          <w:p>
            <w:pPr>
              <w:spacing w:before="40" w:after="40"/>
              <w:rPr>
                <w:rFonts w:hint="eastAsia"/>
                <w:sz w:val="21"/>
              </w:rPr>
            </w:pPr>
          </w:p>
          <w:p>
            <w:pPr>
              <w:spacing w:before="40" w:after="40"/>
              <w:rPr>
                <w:rFonts w:hint="eastAsia"/>
                <w:sz w:val="21"/>
              </w:rPr>
            </w:pPr>
          </w:p>
          <w:p>
            <w:pPr>
              <w:spacing w:before="40" w:after="40"/>
              <w:rPr>
                <w:rFonts w:hint="eastAsia"/>
                <w:sz w:val="21"/>
              </w:rPr>
            </w:pPr>
          </w:p>
          <w:p>
            <w:pPr>
              <w:spacing w:before="40" w:after="40"/>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427" w:type="dxa"/>
            <w:vAlign w:val="center"/>
          </w:tcPr>
          <w:p>
            <w:pPr>
              <w:pStyle w:val="5"/>
              <w:pBdr>
                <w:bottom w:val="none" w:color="auto" w:sz="0" w:space="0"/>
              </w:pBdr>
              <w:tabs>
                <w:tab w:val="center" w:pos="5737"/>
                <w:tab w:val="clear" w:pos="4153"/>
              </w:tabs>
              <w:jc w:val="both"/>
              <w:rPr>
                <w:color w:val="000000"/>
                <w:sz w:val="24"/>
                <w:szCs w:val="24"/>
              </w:rPr>
            </w:pPr>
          </w:p>
        </w:tc>
        <w:tc>
          <w:tcPr>
            <w:tcW w:w="1942"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427" w:type="dxa"/>
            <w:vAlign w:val="center"/>
          </w:tcPr>
          <w:p>
            <w:pPr>
              <w:pStyle w:val="5"/>
              <w:pBdr>
                <w:bottom w:val="none" w:color="auto" w:sz="0" w:space="0"/>
              </w:pBdr>
              <w:tabs>
                <w:tab w:val="center" w:pos="5737"/>
                <w:tab w:val="clear" w:pos="4153"/>
              </w:tabs>
              <w:jc w:val="both"/>
              <w:rPr>
                <w:color w:val="000000"/>
                <w:sz w:val="24"/>
                <w:szCs w:val="24"/>
              </w:rPr>
            </w:pPr>
          </w:p>
        </w:tc>
        <w:tc>
          <w:tcPr>
            <w:tcW w:w="1942"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427" w:type="dxa"/>
            <w:vAlign w:val="center"/>
          </w:tcPr>
          <w:p>
            <w:pPr>
              <w:pStyle w:val="5"/>
              <w:pBdr>
                <w:bottom w:val="none" w:color="auto" w:sz="0" w:space="0"/>
              </w:pBdr>
              <w:tabs>
                <w:tab w:val="center" w:pos="5737"/>
                <w:tab w:val="clear" w:pos="4153"/>
              </w:tabs>
              <w:jc w:val="both"/>
              <w:rPr>
                <w:color w:val="000000"/>
                <w:sz w:val="24"/>
                <w:szCs w:val="24"/>
              </w:rPr>
            </w:pPr>
          </w:p>
        </w:tc>
        <w:tc>
          <w:tcPr>
            <w:tcW w:w="1942"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bookmarkStart w:id="24" w:name="_GoBack"/>
            <w:bookmarkEnd w:id="24"/>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t>□二阶段现场审核前不需提交书面材料的整改项（第项，共项）</w:t>
            </w:r>
          </w:p>
          <w:p>
            <w:pPr>
              <w:pStyle w:val="2"/>
            </w:pPr>
          </w:p>
          <w:p>
            <w:pPr>
              <w:spacing w:line="280" w:lineRule="exact"/>
              <w:rPr>
                <w:rFonts w:hint="eastAsia"/>
                <w:b/>
                <w:color w:val="000000"/>
                <w:sz w:val="22"/>
                <w:szCs w:val="22"/>
              </w:rPr>
            </w:pPr>
            <w:r>
              <w:rPr>
                <w:rFonts w:hint="eastAsia"/>
                <w:b/>
                <w:color w:val="000000"/>
                <w:sz w:val="22"/>
                <w:szCs w:val="22"/>
              </w:rPr>
              <w:t>审核员：</w:t>
            </w:r>
          </w:p>
          <w:p>
            <w:pPr>
              <w:pStyle w:val="2"/>
            </w:pP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52"/>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0A1978"/>
    <w:rsid w:val="08537052"/>
    <w:rsid w:val="09351CDD"/>
    <w:rsid w:val="10BB201A"/>
    <w:rsid w:val="177E1BD5"/>
    <w:rsid w:val="189774C9"/>
    <w:rsid w:val="1A47358A"/>
    <w:rsid w:val="1CE9209C"/>
    <w:rsid w:val="21B70406"/>
    <w:rsid w:val="22142D55"/>
    <w:rsid w:val="24242521"/>
    <w:rsid w:val="24A32551"/>
    <w:rsid w:val="269E5703"/>
    <w:rsid w:val="27141C3C"/>
    <w:rsid w:val="276374DB"/>
    <w:rsid w:val="27BD4F4E"/>
    <w:rsid w:val="29DB2230"/>
    <w:rsid w:val="327C0A36"/>
    <w:rsid w:val="33CB4C18"/>
    <w:rsid w:val="347C3755"/>
    <w:rsid w:val="38057FED"/>
    <w:rsid w:val="45352D14"/>
    <w:rsid w:val="474C1CC5"/>
    <w:rsid w:val="4F6C7425"/>
    <w:rsid w:val="50EF3458"/>
    <w:rsid w:val="51644CFC"/>
    <w:rsid w:val="593A3511"/>
    <w:rsid w:val="5BA56BAE"/>
    <w:rsid w:val="5D022747"/>
    <w:rsid w:val="5EF235D1"/>
    <w:rsid w:val="61690461"/>
    <w:rsid w:val="623D1E6F"/>
    <w:rsid w:val="624E7047"/>
    <w:rsid w:val="656C4E34"/>
    <w:rsid w:val="67911D3A"/>
    <w:rsid w:val="6A8C2D91"/>
    <w:rsid w:val="6ADF3C77"/>
    <w:rsid w:val="6B3D16CA"/>
    <w:rsid w:val="725648C4"/>
    <w:rsid w:val="775F2D2A"/>
    <w:rsid w:val="77A21815"/>
    <w:rsid w:val="7C2F32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2021-04-16T13:09:42Z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45B39AB66EB54E53B3FD0DF0F13472E3</vt:lpwstr>
  </property>
</Properties>
</file>