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szCs w:val="21"/>
              </w:rPr>
            </w:pPr>
            <w:r>
              <w:rPr>
                <w:rFonts w:hint="eastAsia"/>
                <w:szCs w:val="21"/>
              </w:rPr>
              <w:t>过程与活动、</w:t>
            </w:r>
          </w:p>
          <w:p>
            <w:pPr>
              <w:spacing w:line="360" w:lineRule="auto"/>
              <w:jc w:val="center"/>
              <w:rPr>
                <w:szCs w:val="21"/>
              </w:rPr>
            </w:pPr>
            <w:r>
              <w:rPr>
                <w:rFonts w:hint="eastAsia"/>
                <w:szCs w:val="21"/>
              </w:rPr>
              <w:t>抽样计划</w:t>
            </w:r>
          </w:p>
        </w:tc>
        <w:tc>
          <w:tcPr>
            <w:tcW w:w="960" w:type="dxa"/>
            <w:vMerge w:val="restart"/>
            <w:vAlign w:val="center"/>
          </w:tcPr>
          <w:p>
            <w:pPr>
              <w:spacing w:line="360" w:lineRule="auto"/>
              <w:rPr>
                <w:szCs w:val="21"/>
              </w:rPr>
            </w:pPr>
            <w:r>
              <w:rPr>
                <w:rFonts w:hint="eastAsia"/>
                <w:szCs w:val="21"/>
              </w:rPr>
              <w:t>涉及</w:t>
            </w:r>
          </w:p>
          <w:p>
            <w:pPr>
              <w:spacing w:line="360" w:lineRule="auto"/>
              <w:rPr>
                <w:szCs w:val="21"/>
              </w:rPr>
            </w:pPr>
            <w:r>
              <w:rPr>
                <w:rFonts w:hint="eastAsia"/>
                <w:szCs w:val="21"/>
              </w:rPr>
              <w:t>条款</w:t>
            </w:r>
          </w:p>
        </w:tc>
        <w:tc>
          <w:tcPr>
            <w:tcW w:w="10880" w:type="dxa"/>
            <w:vAlign w:val="center"/>
          </w:tcPr>
          <w:p>
            <w:pPr>
              <w:spacing w:line="360" w:lineRule="auto"/>
              <w:rPr>
                <w:rFonts w:hint="default" w:eastAsia="宋体"/>
                <w:color w:val="auto"/>
                <w:szCs w:val="21"/>
                <w:lang w:val="en-US" w:eastAsia="zh-CN"/>
              </w:rPr>
            </w:pPr>
            <w:r>
              <w:rPr>
                <w:rFonts w:hint="eastAsia"/>
                <w:szCs w:val="21"/>
              </w:rPr>
              <w:t>受审核部门：</w:t>
            </w:r>
            <w:r>
              <w:rPr>
                <w:rFonts w:hint="eastAsia" w:ascii="宋体" w:hAnsi="宋体" w:cs="Times New Roman"/>
                <w:sz w:val="21"/>
                <w:szCs w:val="21"/>
              </w:rPr>
              <w:t>管理层、</w:t>
            </w:r>
            <w:r>
              <w:rPr>
                <w:rFonts w:hint="eastAsia" w:ascii="宋体" w:hAnsi="宋体" w:cs="Times New Roman"/>
                <w:sz w:val="21"/>
                <w:szCs w:val="21"/>
                <w:lang w:val="en-US" w:eastAsia="zh-CN"/>
              </w:rPr>
              <w:t>行政人事部、生产部、采购部、营销中心、技术质量部、财务部</w:t>
            </w:r>
          </w:p>
          <w:p>
            <w:pPr>
              <w:spacing w:line="360" w:lineRule="auto"/>
              <w:rPr>
                <w:rFonts w:hint="default" w:eastAsia="宋体"/>
                <w:szCs w:val="21"/>
                <w:lang w:val="en-US" w:eastAsia="zh-CN"/>
              </w:rPr>
            </w:pP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彭宏     管代：易秀珍     </w:t>
            </w:r>
            <w:r>
              <w:rPr>
                <w:rFonts w:hint="eastAsia" w:asciiTheme="minorEastAsia" w:hAnsiTheme="minorEastAsia" w:eastAsiaTheme="minorEastAsia" w:cstheme="minorEastAsia"/>
                <w:sz w:val="21"/>
                <w:szCs w:val="21"/>
              </w:rPr>
              <w:t xml:space="preserve"> 陪同人员：</w:t>
            </w:r>
            <w:r>
              <w:rPr>
                <w:rFonts w:hint="eastAsia" w:asciiTheme="minorEastAsia" w:hAnsiTheme="minorEastAsia" w:eastAsiaTheme="minorEastAsia" w:cstheme="minorEastAsia"/>
                <w:sz w:val="21"/>
                <w:szCs w:val="21"/>
                <w:lang w:val="en-US" w:eastAsia="zh-CN"/>
              </w:rPr>
              <w:t>范冬梅</w:t>
            </w:r>
          </w:p>
        </w:tc>
        <w:tc>
          <w:tcPr>
            <w:tcW w:w="709" w:type="dxa"/>
            <w:vMerge w:val="restart"/>
            <w:vAlign w:val="center"/>
          </w:tcPr>
          <w:p>
            <w:pPr>
              <w:spacing w:line="360" w:lineRule="auto"/>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spacing w:line="360" w:lineRule="auto"/>
              <w:jc w:val="left"/>
              <w:rPr>
                <w:szCs w:val="21"/>
              </w:rPr>
            </w:pPr>
          </w:p>
        </w:tc>
        <w:tc>
          <w:tcPr>
            <w:tcW w:w="960" w:type="dxa"/>
            <w:vMerge w:val="continue"/>
            <w:vAlign w:val="center"/>
          </w:tcPr>
          <w:p>
            <w:pPr>
              <w:widowControl/>
              <w:spacing w:line="360" w:lineRule="auto"/>
              <w:jc w:val="left"/>
              <w:rPr>
                <w:szCs w:val="21"/>
              </w:rPr>
            </w:pPr>
          </w:p>
        </w:tc>
        <w:tc>
          <w:tcPr>
            <w:tcW w:w="10880" w:type="dxa"/>
            <w:vAlign w:val="center"/>
          </w:tcPr>
          <w:p>
            <w:pPr>
              <w:spacing w:before="120" w:line="360" w:lineRule="auto"/>
              <w:rPr>
                <w:szCs w:val="21"/>
              </w:rPr>
            </w:pPr>
            <w:r>
              <w:rPr>
                <w:rFonts w:hint="eastAsia"/>
                <w:szCs w:val="21"/>
              </w:rPr>
              <w:t>审核员：李俐、</w:t>
            </w:r>
            <w:r>
              <w:rPr>
                <w:rFonts w:hint="eastAsia"/>
                <w:szCs w:val="21"/>
                <w:lang w:val="en-US" w:eastAsia="zh-CN"/>
              </w:rPr>
              <w:t>郭力、宋明珠、向晓峰</w:t>
            </w:r>
            <w:r>
              <w:rPr>
                <w:szCs w:val="21"/>
              </w:rPr>
              <w:t xml:space="preserve">   </w:t>
            </w:r>
            <w:r>
              <w:rPr>
                <w:rFonts w:hint="eastAsia"/>
                <w:szCs w:val="21"/>
                <w:lang w:val="en-US" w:eastAsia="zh-CN"/>
              </w:rPr>
              <w:t xml:space="preserve">        </w:t>
            </w:r>
            <w:r>
              <w:rPr>
                <w:szCs w:val="21"/>
              </w:rPr>
              <w:t xml:space="preserve"> </w:t>
            </w:r>
            <w:r>
              <w:rPr>
                <w:rFonts w:hint="eastAsia"/>
                <w:szCs w:val="21"/>
              </w:rPr>
              <w:t>审核时间：</w:t>
            </w:r>
            <w:r>
              <w:rPr>
                <w:szCs w:val="21"/>
              </w:rPr>
              <w:t xml:space="preserve"> </w:t>
            </w:r>
            <w:r>
              <w:rPr>
                <w:rFonts w:hint="eastAsia"/>
                <w:szCs w:val="21"/>
              </w:rPr>
              <w:t>20</w:t>
            </w:r>
            <w:r>
              <w:rPr>
                <w:rFonts w:hint="eastAsia"/>
                <w:szCs w:val="21"/>
                <w:lang w:val="en-US" w:eastAsia="zh-CN"/>
              </w:rPr>
              <w:t>21</w:t>
            </w:r>
            <w:r>
              <w:rPr>
                <w:rFonts w:hint="eastAsia"/>
                <w:szCs w:val="21"/>
              </w:rPr>
              <w:t>年</w:t>
            </w:r>
            <w:r>
              <w:rPr>
                <w:rFonts w:hint="eastAsia"/>
                <w:szCs w:val="21"/>
                <w:lang w:val="en-US" w:eastAsia="zh-CN"/>
              </w:rPr>
              <w:t>4</w:t>
            </w:r>
            <w:r>
              <w:rPr>
                <w:rFonts w:hint="eastAsia"/>
                <w:szCs w:val="21"/>
              </w:rPr>
              <w:t>月</w:t>
            </w:r>
            <w:r>
              <w:rPr>
                <w:rFonts w:hint="eastAsia"/>
                <w:szCs w:val="21"/>
                <w:lang w:val="en-US" w:eastAsia="zh-CN"/>
              </w:rPr>
              <w:t>11</w:t>
            </w:r>
            <w:r>
              <w:rPr>
                <w:rFonts w:hint="eastAsia"/>
                <w:szCs w:val="21"/>
              </w:rPr>
              <w:t>日</w:t>
            </w:r>
          </w:p>
        </w:tc>
        <w:tc>
          <w:tcPr>
            <w:tcW w:w="709" w:type="dxa"/>
            <w:vMerge w:val="continue"/>
            <w:vAlign w:val="center"/>
          </w:tcPr>
          <w:p>
            <w:pPr>
              <w:widowControl/>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spacing w:line="360" w:lineRule="auto"/>
              <w:jc w:val="left"/>
              <w:rPr>
                <w:szCs w:val="21"/>
              </w:rPr>
            </w:pPr>
          </w:p>
        </w:tc>
        <w:tc>
          <w:tcPr>
            <w:tcW w:w="960" w:type="dxa"/>
            <w:vMerge w:val="continue"/>
            <w:vAlign w:val="center"/>
          </w:tcPr>
          <w:p>
            <w:pPr>
              <w:widowControl/>
              <w:spacing w:line="360" w:lineRule="auto"/>
              <w:jc w:val="left"/>
              <w:rPr>
                <w:szCs w:val="21"/>
              </w:rPr>
            </w:pPr>
          </w:p>
        </w:tc>
        <w:tc>
          <w:tcPr>
            <w:tcW w:w="10880" w:type="dxa"/>
            <w:vAlign w:val="center"/>
          </w:tcPr>
          <w:p>
            <w:pPr>
              <w:spacing w:line="360" w:lineRule="auto"/>
              <w:rPr>
                <w:rFonts w:hint="eastAsia" w:eastAsia="宋体"/>
                <w:szCs w:val="21"/>
                <w:lang w:val="en-US" w:eastAsia="zh-CN"/>
              </w:rPr>
            </w:pPr>
            <w:r>
              <w:rPr>
                <w:rFonts w:hint="eastAsia"/>
                <w:szCs w:val="21"/>
              </w:rPr>
              <w:t>审核条款：</w:t>
            </w:r>
            <w:r>
              <w:rPr>
                <w:rFonts w:hint="eastAsia"/>
                <w:szCs w:val="21"/>
                <w:lang w:val="en-US" w:eastAsia="zh-CN"/>
              </w:rPr>
              <w:t>略</w:t>
            </w:r>
          </w:p>
        </w:tc>
        <w:tc>
          <w:tcPr>
            <w:tcW w:w="709" w:type="dxa"/>
            <w:vMerge w:val="continue"/>
            <w:vAlign w:val="center"/>
          </w:tcPr>
          <w:p>
            <w:pPr>
              <w:widowControl/>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szCs w:val="21"/>
              </w:rPr>
              <w:t>企业名称确认</w:t>
            </w:r>
          </w:p>
          <w:p>
            <w:pPr>
              <w:spacing w:line="360" w:lineRule="auto"/>
              <w:rPr>
                <w:szCs w:val="21"/>
              </w:rPr>
            </w:pPr>
            <w:r>
              <w:rPr>
                <w:rFonts w:hint="eastAsia"/>
                <w:szCs w:val="21"/>
              </w:rPr>
              <w:t>地址（包括注册地址、生产</w:t>
            </w:r>
            <w:r>
              <w:rPr>
                <w:szCs w:val="21"/>
              </w:rPr>
              <w:t>/</w:t>
            </w:r>
            <w:r>
              <w:rPr>
                <w:rFonts w:hint="eastAsia"/>
                <w:szCs w:val="21"/>
              </w:rPr>
              <w:t>经营地址）、多场所地址等</w:t>
            </w:r>
          </w:p>
          <w:p>
            <w:pPr>
              <w:spacing w:line="360" w:lineRule="auto"/>
              <w:rPr>
                <w:szCs w:val="21"/>
              </w:rPr>
            </w:pPr>
            <w:r>
              <w:rPr>
                <w:rFonts w:hint="eastAsia"/>
                <w:szCs w:val="21"/>
              </w:rPr>
              <w:t>营业执照、组织机构代码证、相关资质的有效性确认</w:t>
            </w:r>
          </w:p>
          <w:p>
            <w:pPr>
              <w:widowControl/>
              <w:spacing w:line="360" w:lineRule="auto"/>
              <w:jc w:val="left"/>
              <w:rPr>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ind w:firstLine="57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面谈人员：总经理：彭宏    管代： 易秀珍  </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四川瑞百丽尚品家具有限公司创立于2011年6月，前身是四川瑞百丽家具有限责任公司，作为国际高端办公家具生产制造商，是成都市家具协会常务会员单位。瑞百丽尚品家具以PDT系统作为运作平台，致力于全球办公使用高科技应用及环境完善，拥有完善的研发、生产、销售、物流、服务系统。是中国为数不多的集设计研发、生产制造、品牌运营于一体的办公家具专业领域“一站式”配套的大型运营商。</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企业主要产品：迪奥系列、瑞彩系列、欧文系列、卡地亚系列、名轩系列、春颜系列、百丽屏风系列、沙发座椅系列，全方位覆盖办公家具制造领域。</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查：申请方提供的各类资质证明：</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《营业执照》：</w:t>
            </w:r>
          </w:p>
          <w:p>
            <w:pPr>
              <w:spacing w:line="360" w:lineRule="auto"/>
              <w:ind w:firstLine="57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公司名称：四川瑞百丽尚品家具有限公司，公司成立：2011-06-27成立，有效期：长期</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法人代表：彭宏。注册资金5050.00万人民币。</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注册地址：成都崇州经济开发区晨曦大道中段1175号</w:t>
            </w:r>
          </w:p>
          <w:p>
            <w:pPr>
              <w:spacing w:line="360" w:lineRule="auto"/>
              <w:ind w:firstLine="570"/>
              <w:rPr>
                <w:rFonts w:hint="eastAsia" w:ascii="Times New Roman" w:hAnsi="Times New Roman" w:eastAsia="宋体" w:cs="Times New Roman"/>
                <w:szCs w:val="22"/>
                <w:lang w:val="de-DE" w:eastAsia="zh-CN"/>
              </w:rPr>
            </w:pPr>
            <w:r>
              <w:rPr>
                <w:rFonts w:hint="eastAsia" w:ascii="Times New Roman" w:hAnsi="Times New Roman" w:eastAsia="宋体" w:cs="Times New Roman"/>
                <w:szCs w:val="22"/>
                <w:lang w:val="de-DE" w:eastAsia="zh-CN"/>
              </w:rPr>
              <w:t>经营地址：</w:t>
            </w:r>
            <w:r>
              <w:rPr>
                <w:rFonts w:hint="eastAsia" w:ascii="Times New Roman" w:hAnsi="Times New Roman" w:eastAsia="宋体" w:cs="Times New Roman"/>
                <w:szCs w:val="22"/>
                <w:lang w:val="en-US" w:eastAsia="zh-CN"/>
              </w:rPr>
              <w:t>成都崇州经济开发区晨曦大道中段1175号</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经营范围：一般项目∶办公家具、教学家具、酒店家具、家具、办公设备、教学设备、实验设备、金属家具、实木家具、板式家具、塑料家具、实验家具、儿童家具、钢木家具、软体家具、公寓家具、定制家具、智能家具、金融家具、医疗家具、营房及警用家具、部队制式营具、仿古家具、竹、藤家具及其他家具、礼堂椅、沙发、床、床垫、竹藤家具、金属箱柜、密集架、书架、保险柜、文件柜、门、窗、结构性金属制品、智能数字化保险柜、专业座椅、铝合金制品、钢木结构储藏架柜、多功能文物柜、字画服饰织物文物储藏专用架、套装门、金库门、智能金库、智能金库门、枪库、枪库门、智能枪库、智能枪库门、枪柜、弹柜、网络枪柜、网络弹柜、网络枪弹一体柜、智能枪柜、智能弹柜、智能枪支弹药一体柜、枪支弹药一体专用保险柜、装饰材料的研发、生产、销售、安装、维修；文化用品、办公用品、体育用品、建筑材料、五金交电、电子产品、照明器具、仪器仪表、日用百货、日用杂品、玩具、洁具、电器、纺织品、床上用品、窗帘、布艺类产品、视频设备、音响设备、广播设备、文教办公用品、教学仪器、医疗器械、医疗设施、工艺品、橡胶制品、玻璃制品、实验室设备、试验分析仪器、消防器材、安防设备、健身器材、配电开关控制设备、厨房设备的销售及售后服务；室内外装饰装修及设计；家具进出口。（以上经营范围涉及资质证的凭资质证经营，依法须经批准的项目，经相关部门批准后方可开展经营活动）。</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营业执照符合要求，见附件。</w:t>
            </w:r>
          </w:p>
          <w:p>
            <w:pPr>
              <w:spacing w:line="360" w:lineRule="auto"/>
              <w:ind w:firstLine="57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资质满足认证范围的要求。</w:t>
            </w:r>
          </w:p>
        </w:tc>
        <w:tc>
          <w:tcPr>
            <w:tcW w:w="709" w:type="dxa"/>
            <w:vAlign w:val="center"/>
          </w:tcPr>
          <w:p>
            <w:pPr>
              <w:widowControl/>
              <w:spacing w:line="360" w:lineRule="auto"/>
              <w:jc w:val="left"/>
              <w:rPr>
                <w:rFonts w:hint="default" w:eastAsia="宋体"/>
                <w:szCs w:val="21"/>
                <w:lang w:val="en-US" w:eastAsia="zh-CN"/>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ascii="宋体" w:hAnsi="宋体"/>
                <w:szCs w:val="21"/>
              </w:rPr>
              <w:t>近两年与质量、环境和职业健康安全管理体系等方面是否有违规被处罚、媒体通报情况；</w:t>
            </w:r>
          </w:p>
        </w:tc>
        <w:tc>
          <w:tcPr>
            <w:tcW w:w="960" w:type="dxa"/>
            <w:vAlign w:val="center"/>
          </w:tcPr>
          <w:p>
            <w:pPr>
              <w:widowControl/>
              <w:spacing w:line="360" w:lineRule="auto"/>
              <w:jc w:val="left"/>
              <w:rPr>
                <w:szCs w:val="21"/>
              </w:rPr>
            </w:pPr>
          </w:p>
        </w:tc>
        <w:tc>
          <w:tcPr>
            <w:tcW w:w="10880" w:type="dxa"/>
            <w:vAlign w:val="center"/>
          </w:tcPr>
          <w:p>
            <w:pPr>
              <w:spacing w:line="360" w:lineRule="auto"/>
              <w:rPr>
                <w:szCs w:val="21"/>
              </w:rPr>
            </w:pPr>
            <w:r>
              <w:rPr>
                <w:rFonts w:hint="eastAsia" w:ascii="宋体" w:hAnsi="宋体"/>
                <w:szCs w:val="21"/>
              </w:rPr>
              <w:t>审核过程中确认，近年来，该企业无质量、环境和职业健康安全管理体系等方面违规被处罚、媒体通报情况。</w:t>
            </w:r>
          </w:p>
          <w:p>
            <w:pPr>
              <w:pStyle w:val="2"/>
              <w:spacing w:line="360" w:lineRule="auto"/>
              <w:rPr>
                <w:rFonts w:hint="eastAsia"/>
                <w:szCs w:val="21"/>
                <w:lang w:val="en-US" w:eastAsia="zh-CN"/>
              </w:rPr>
            </w:pPr>
            <w:r>
              <w:rPr>
                <w:rFonts w:hint="eastAsia" w:ascii="宋体" w:hAnsi="宋体"/>
                <w:szCs w:val="21"/>
              </w:rPr>
              <w:t>内部沟通良好、</w:t>
            </w:r>
            <w:r>
              <w:rPr>
                <w:rFonts w:hint="eastAsia"/>
                <w:szCs w:val="21"/>
              </w:rPr>
              <w:t>外部提供过程的管理、</w:t>
            </w:r>
            <w:r>
              <w:rPr>
                <w:rFonts w:hint="eastAsia" w:ascii="宋体" w:hAnsi="宋体"/>
                <w:szCs w:val="21"/>
              </w:rPr>
              <w:t>顾客沟通及客户满意及员工及相关方的报怨、投诉的处理情况，二阶段详查</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2160" w:type="dxa"/>
            <w:vAlign w:val="center"/>
          </w:tcPr>
          <w:p>
            <w:pPr>
              <w:spacing w:line="360" w:lineRule="auto"/>
              <w:rPr>
                <w:szCs w:val="21"/>
              </w:rPr>
            </w:pPr>
            <w:r>
              <w:rPr>
                <w:rFonts w:hint="eastAsia"/>
                <w:szCs w:val="21"/>
              </w:rPr>
              <w:t>管理体系运行起始日</w:t>
            </w:r>
          </w:p>
          <w:p>
            <w:pPr>
              <w:spacing w:line="360" w:lineRule="auto"/>
              <w:rPr>
                <w:color w:val="FF0000"/>
                <w:szCs w:val="21"/>
              </w:rPr>
            </w:pPr>
            <w:r>
              <w:rPr>
                <w:rFonts w:hint="eastAsia"/>
                <w:szCs w:val="21"/>
              </w:rPr>
              <w:t>确认组织实际与管理体系文件描述的一致性</w:t>
            </w:r>
          </w:p>
          <w:p>
            <w:pPr>
              <w:spacing w:line="360" w:lineRule="auto"/>
              <w:rPr>
                <w:rFonts w:hint="eastAsia"/>
                <w:szCs w:val="21"/>
              </w:rPr>
            </w:pPr>
            <w:r>
              <w:rPr>
                <w:rFonts w:hint="eastAsia"/>
                <w:szCs w:val="21"/>
              </w:rPr>
              <w:t>组织机构（如部门设置和负责人，服务过程）</w:t>
            </w:r>
          </w:p>
        </w:tc>
        <w:tc>
          <w:tcPr>
            <w:tcW w:w="960" w:type="dxa"/>
            <w:vAlign w:val="center"/>
          </w:tcPr>
          <w:p>
            <w:pPr>
              <w:widowControl/>
              <w:spacing w:line="360" w:lineRule="auto"/>
              <w:jc w:val="left"/>
              <w:rPr>
                <w:szCs w:val="21"/>
              </w:rPr>
            </w:pPr>
          </w:p>
        </w:tc>
        <w:tc>
          <w:tcPr>
            <w:tcW w:w="10880" w:type="dxa"/>
            <w:vAlign w:val="center"/>
          </w:tcPr>
          <w:p>
            <w:pPr>
              <w:spacing w:line="360" w:lineRule="auto"/>
              <w:jc w:val="left"/>
              <w:rPr>
                <w:rFonts w:hint="eastAsia" w:ascii="宋体" w:hAnsi="宋体"/>
                <w:szCs w:val="21"/>
              </w:rPr>
            </w:pPr>
            <w:r>
              <w:rPr>
                <w:rFonts w:hint="eastAsia" w:ascii="宋体" w:hAnsi="宋体"/>
                <w:szCs w:val="21"/>
              </w:rPr>
              <w:t>质量环境职业健康安全管理体系</w:t>
            </w:r>
            <w:r>
              <w:rPr>
                <w:rFonts w:hint="eastAsia" w:ascii="宋体" w:hAnsi="宋体" w:eastAsia="宋体" w:cs="Times New Roman"/>
                <w:szCs w:val="21"/>
              </w:rPr>
              <w:t>于2020年</w:t>
            </w:r>
            <w:r>
              <w:rPr>
                <w:rFonts w:hint="eastAsia" w:ascii="宋体" w:hAnsi="宋体" w:eastAsia="宋体" w:cs="Times New Roman"/>
                <w:szCs w:val="21"/>
                <w:lang w:val="en-US" w:eastAsia="zh-CN"/>
              </w:rPr>
              <w:t>5</w:t>
            </w:r>
            <w:r>
              <w:rPr>
                <w:rFonts w:hint="eastAsia" w:ascii="宋体" w:hAnsi="宋体" w:eastAsia="宋体" w:cs="Times New Roman"/>
                <w:szCs w:val="21"/>
              </w:rPr>
              <w:t>月1</w:t>
            </w:r>
            <w:r>
              <w:rPr>
                <w:rFonts w:hint="eastAsia" w:ascii="宋体" w:hAnsi="宋体" w:eastAsia="宋体" w:cs="Times New Roman"/>
                <w:szCs w:val="21"/>
                <w:lang w:val="en-US" w:eastAsia="zh-CN"/>
              </w:rPr>
              <w:t>0</w:t>
            </w:r>
            <w:r>
              <w:rPr>
                <w:rFonts w:hint="eastAsia" w:ascii="宋体" w:hAnsi="宋体" w:eastAsia="宋体" w:cs="Times New Roman"/>
                <w:szCs w:val="21"/>
              </w:rPr>
              <w:t>日建立</w:t>
            </w:r>
            <w:r>
              <w:rPr>
                <w:rFonts w:hint="eastAsia" w:ascii="宋体" w:hAnsi="宋体"/>
                <w:szCs w:val="21"/>
              </w:rPr>
              <w:t>并正式实施。</w:t>
            </w:r>
          </w:p>
          <w:p>
            <w:pPr>
              <w:spacing w:line="360" w:lineRule="auto"/>
              <w:rPr>
                <w:rFonts w:hint="default" w:ascii="宋体" w:hAnsi="宋体" w:eastAsia="宋体"/>
                <w:szCs w:val="21"/>
                <w:lang w:val="en-US" w:eastAsia="zh-CN"/>
              </w:rPr>
            </w:pPr>
            <w:r>
              <w:rPr>
                <w:rFonts w:hint="eastAsia"/>
              </w:rPr>
              <w:t>最管理者，</w:t>
            </w:r>
            <w:r>
              <w:rPr>
                <w:rFonts w:hint="eastAsia"/>
                <w:lang w:val="en-US" w:eastAsia="zh-CN"/>
              </w:rPr>
              <w:t>总经理：彭宏  管代：易秀珍</w:t>
            </w:r>
            <w:r>
              <w:rPr>
                <w:rFonts w:hint="eastAsia"/>
              </w:rPr>
              <w:t>，职业健康安全事务代表</w:t>
            </w:r>
            <w:r>
              <w:rPr>
                <w:rFonts w:hint="eastAsia"/>
                <w:lang w:eastAsia="zh-CN"/>
              </w:rPr>
              <w:t>：</w:t>
            </w:r>
            <w:r>
              <w:rPr>
                <w:rFonts w:hint="eastAsia"/>
                <w:color w:val="auto"/>
                <w:lang w:eastAsia="zh-CN"/>
              </w:rPr>
              <w:t>范冬梅</w:t>
            </w:r>
          </w:p>
          <w:p>
            <w:pPr>
              <w:spacing w:line="360" w:lineRule="auto"/>
              <w:jc w:val="left"/>
              <w:rPr>
                <w:rFonts w:hint="eastAsia" w:ascii="宋体" w:hAnsi="宋体"/>
                <w:szCs w:val="21"/>
              </w:rPr>
            </w:pPr>
            <w:r>
              <w:rPr>
                <w:rFonts w:hint="eastAsia" w:ascii="宋体" w:hAnsi="宋体"/>
                <w:szCs w:val="21"/>
              </w:rPr>
              <w:t>组织机构：</w:t>
            </w:r>
            <w:r>
              <w:rPr>
                <w:rFonts w:hint="eastAsia" w:ascii="宋体" w:hAnsi="宋体" w:cs="Times New Roman"/>
                <w:sz w:val="21"/>
                <w:szCs w:val="21"/>
              </w:rPr>
              <w:t>管理层、</w:t>
            </w:r>
            <w:r>
              <w:rPr>
                <w:rFonts w:hint="eastAsia" w:ascii="宋体" w:hAnsi="宋体" w:cs="Times New Roman"/>
                <w:sz w:val="21"/>
                <w:szCs w:val="21"/>
                <w:lang w:val="en-US" w:eastAsia="zh-CN"/>
              </w:rPr>
              <w:t>行政人事部、生产部、采购部、营销中心、技术质量部、财务部</w:t>
            </w:r>
            <w:r>
              <w:rPr>
                <w:rFonts w:hint="eastAsia" w:ascii="宋体" w:hAnsi="宋体"/>
                <w:szCs w:val="21"/>
              </w:rPr>
              <w:t>。</w:t>
            </w:r>
          </w:p>
          <w:p>
            <w:pPr>
              <w:spacing w:line="360" w:lineRule="auto"/>
              <w:jc w:val="left"/>
              <w:rPr>
                <w:color w:val="000000"/>
                <w:szCs w:val="21"/>
              </w:rPr>
            </w:pPr>
            <w:r>
              <w:rPr>
                <w:rFonts w:hint="eastAsia" w:ascii="宋体" w:hAnsi="宋体"/>
                <w:szCs w:val="21"/>
              </w:rPr>
              <w:t>组织</w:t>
            </w:r>
            <w:r>
              <w:rPr>
                <w:rFonts w:hint="eastAsia" w:ascii="宋体" w:hAnsi="宋体"/>
                <w:szCs w:val="21"/>
                <w:lang w:val="en-US" w:eastAsia="zh-CN"/>
              </w:rPr>
              <w:t>机构</w:t>
            </w:r>
            <w:r>
              <w:rPr>
                <w:rFonts w:hint="eastAsia" w:ascii="宋体" w:hAnsi="宋体"/>
                <w:szCs w:val="21"/>
              </w:rPr>
              <w:t>实际与管理体系文件描述的一致</w:t>
            </w:r>
            <w:r>
              <w:rPr>
                <w:rFonts w:hint="eastAsia" w:ascii="宋体" w:hAnsi="宋体"/>
                <w:szCs w:val="21"/>
                <w:lang w:val="en-US" w:eastAsia="zh-CN"/>
              </w:rPr>
              <w:t>。</w:t>
            </w:r>
          </w:p>
          <w:p>
            <w:pPr>
              <w:spacing w:line="360" w:lineRule="auto"/>
              <w:jc w:val="left"/>
              <w:rPr>
                <w:rFonts w:hint="eastAsia" w:ascii="宋体" w:hAnsi="宋体" w:eastAsia="宋体" w:cs="Times New Roman"/>
                <w:szCs w:val="21"/>
              </w:rPr>
            </w:pP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2160" w:type="dxa"/>
            <w:vAlign w:val="center"/>
          </w:tcPr>
          <w:p>
            <w:pPr>
              <w:spacing w:line="360" w:lineRule="auto"/>
              <w:rPr>
                <w:szCs w:val="21"/>
              </w:rPr>
            </w:pPr>
            <w:r>
              <w:rPr>
                <w:rFonts w:hint="eastAsia" w:ascii="宋体" w:hAnsi="宋体"/>
                <w:szCs w:val="21"/>
              </w:rPr>
              <w:t>审核范围的确认</w:t>
            </w:r>
          </w:p>
          <w:p>
            <w:pPr>
              <w:spacing w:line="360" w:lineRule="auto"/>
              <w:rPr>
                <w:rFonts w:hint="eastAsia" w:ascii="宋体" w:hAnsi="宋体"/>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jc w:val="left"/>
              <w:rPr>
                <w:rFonts w:hint="eastAsia"/>
              </w:rPr>
            </w:pPr>
            <w:r>
              <w:rPr>
                <w:rFonts w:hint="eastAsia"/>
              </w:rPr>
              <w:t>现场确认范围</w:t>
            </w:r>
          </w:p>
          <w:p>
            <w:pPr>
              <w:spacing w:line="360" w:lineRule="auto"/>
              <w:jc w:val="left"/>
              <w:rPr>
                <w:rFonts w:hint="eastAsia" w:ascii="Times New Roman" w:hAnsi="Times New Roman" w:eastAsia="宋体" w:cs="Times New Roman"/>
                <w:szCs w:val="22"/>
              </w:rPr>
            </w:pPr>
            <w:bookmarkStart w:id="0" w:name="审核范围"/>
            <w:r>
              <w:rPr>
                <w:rFonts w:hint="eastAsia" w:ascii="Times New Roman" w:hAnsi="Times New Roman" w:eastAsia="宋体" w:cs="Times New Roman"/>
                <w:szCs w:val="22"/>
              </w:rPr>
              <w:t>Q：</w:t>
            </w:r>
            <w:r>
              <w:rPr>
                <w:rFonts w:hint="eastAsia" w:cs="Times New Roman"/>
                <w:szCs w:val="22"/>
                <w:lang w:eastAsia="zh-CN"/>
              </w:rPr>
              <w:t>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w:t>
            </w:r>
          </w:p>
          <w:p>
            <w:pPr>
              <w:spacing w:line="36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E：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所涉及场所的相关环境管理活动</w:t>
            </w:r>
          </w:p>
          <w:p>
            <w:pPr>
              <w:spacing w:line="360" w:lineRule="auto"/>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rPr>
              <w:t>O：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所涉及场所的相关职业健康安全管理活动</w:t>
            </w:r>
            <w:bookmarkEnd w:id="0"/>
          </w:p>
          <w:p>
            <w:pPr>
              <w:spacing w:line="360" w:lineRule="auto"/>
              <w:jc w:val="left"/>
              <w:rPr>
                <w:rFonts w:hint="default" w:ascii="Times New Roman" w:hAnsi="Times New Roman" w:eastAsia="宋体" w:cs="Times New Roman"/>
                <w:szCs w:val="22"/>
                <w:lang w:val="en-US" w:eastAsia="zh-CN"/>
              </w:rPr>
            </w:pPr>
            <w:r>
              <w:rPr>
                <w:rFonts w:hint="eastAsia" w:cs="Times New Roman"/>
                <w:szCs w:val="22"/>
                <w:lang w:val="en-US" w:eastAsia="zh-CN"/>
              </w:rPr>
              <w:t>无删减</w:t>
            </w:r>
            <w:r>
              <w:rPr>
                <w:rFonts w:hint="eastAsia" w:ascii="Times New Roman" w:hAnsi="Times New Roman" w:eastAsia="宋体" w:cs="Times New Roman"/>
                <w:szCs w:val="22"/>
                <w:lang w:val="en-US" w:eastAsia="zh-CN"/>
              </w:rPr>
              <w:t>条款。</w:t>
            </w:r>
          </w:p>
          <w:p>
            <w:pPr>
              <w:pStyle w:val="2"/>
              <w:spacing w:line="360" w:lineRule="auto"/>
              <w:rPr>
                <w:rFonts w:hint="default"/>
                <w:lang w:val="en-US" w:eastAsia="zh-CN"/>
              </w:rPr>
            </w:pPr>
            <w:r>
              <w:rPr>
                <w:rFonts w:hint="eastAsia"/>
                <w:lang w:val="en-US" w:eastAsia="zh-CN"/>
              </w:rPr>
              <w:t>有外包：油漆、表面处理、金属件焊接。</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szCs w:val="21"/>
              </w:rPr>
              <w:t>风险和机遇的识别、企业内外部环境分析及相关方的需求和知识</w:t>
            </w:r>
          </w:p>
        </w:tc>
        <w:tc>
          <w:tcPr>
            <w:tcW w:w="960" w:type="dxa"/>
            <w:vAlign w:val="center"/>
          </w:tcPr>
          <w:p>
            <w:pPr>
              <w:widowControl/>
              <w:spacing w:line="360" w:lineRule="auto"/>
              <w:jc w:val="left"/>
              <w:rPr>
                <w:szCs w:val="21"/>
              </w:rPr>
            </w:pPr>
          </w:p>
        </w:tc>
        <w:tc>
          <w:tcPr>
            <w:tcW w:w="10880" w:type="dxa"/>
            <w:vAlign w:val="center"/>
          </w:tcPr>
          <w:p>
            <w:pPr>
              <w:spacing w:line="360" w:lineRule="auto"/>
              <w:rPr>
                <w:szCs w:val="21"/>
              </w:rPr>
            </w:pPr>
            <w:r>
              <w:rPr>
                <w:rFonts w:hint="eastAsia"/>
                <w:szCs w:val="21"/>
              </w:rPr>
              <w:t>公司制定管理手册中，明确风险和机遇事件的识别方法</w:t>
            </w:r>
            <w:r>
              <w:rPr>
                <w:szCs w:val="21"/>
              </w:rPr>
              <w:t>/</w:t>
            </w:r>
            <w:r>
              <w:rPr>
                <w:rFonts w:hint="eastAsia"/>
                <w:szCs w:val="21"/>
              </w:rPr>
              <w:t>途径、风险和机遇事件的评估方式、制定主要风险和机遇事件的应对措施的要求、评价这些措施有效性的方法。</w:t>
            </w:r>
          </w:p>
          <w:p>
            <w:pPr>
              <w:spacing w:line="360" w:lineRule="auto"/>
              <w:ind w:firstLine="420" w:firstLineChars="200"/>
              <w:rPr>
                <w:rFonts w:hint="eastAsia"/>
                <w:szCs w:val="21"/>
                <w:lang w:val="en-US" w:eastAsia="zh-CN"/>
              </w:rPr>
            </w:pPr>
            <w:r>
              <w:rPr>
                <w:rFonts w:hint="eastAsia"/>
                <w:szCs w:val="21"/>
              </w:rPr>
              <w:t>制定了</w:t>
            </w:r>
            <w:r>
              <w:rPr>
                <w:rFonts w:hint="eastAsia"/>
                <w:szCs w:val="21"/>
                <w:lang w:eastAsia="zh-CN"/>
              </w:rPr>
              <w:t>“</w:t>
            </w:r>
            <w:r>
              <w:rPr>
                <w:rFonts w:hint="eastAsia"/>
                <w:szCs w:val="21"/>
              </w:rPr>
              <w:t>风险和机遇分析、评价和应对措施的确定程序</w:t>
            </w:r>
            <w:r>
              <w:rPr>
                <w:rFonts w:hint="eastAsia"/>
                <w:szCs w:val="21"/>
                <w:lang w:eastAsia="zh-CN"/>
              </w:rPr>
              <w:t>”</w:t>
            </w:r>
            <w:r>
              <w:rPr>
                <w:rFonts w:hint="eastAsia"/>
                <w:szCs w:val="21"/>
              </w:rPr>
              <w:t>，提供“风险与机遇评价与应对策划表”，按照</w:t>
            </w:r>
            <w:r>
              <w:rPr>
                <w:rFonts w:hint="eastAsia"/>
                <w:szCs w:val="21"/>
                <w:lang w:val="en-US" w:eastAsia="zh-CN"/>
              </w:rPr>
              <w:t>施工、</w:t>
            </w:r>
            <w:r>
              <w:rPr>
                <w:rFonts w:hint="eastAsia"/>
                <w:szCs w:val="21"/>
              </w:rPr>
              <w:t>销售、采购、支持过程</w:t>
            </w:r>
            <w:r>
              <w:rPr>
                <w:szCs w:val="21"/>
              </w:rPr>
              <w:t>/</w:t>
            </w:r>
            <w:r>
              <w:rPr>
                <w:rFonts w:hint="eastAsia"/>
                <w:szCs w:val="21"/>
              </w:rPr>
              <w:t>部门对风险和机遇进行了评价识别，并制定应对措施。二阶段详查。</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hint="eastAsia"/>
                <w:szCs w:val="21"/>
              </w:rPr>
            </w:pPr>
            <w:r>
              <w:rPr>
                <w:rFonts w:hint="eastAsia"/>
                <w:szCs w:val="21"/>
              </w:rPr>
              <w:t>相关法律法规</w:t>
            </w:r>
          </w:p>
          <w:p>
            <w:pPr>
              <w:pStyle w:val="2"/>
              <w:spacing w:line="360" w:lineRule="auto"/>
              <w:rPr>
                <w:rFonts w:hint="default" w:eastAsia="宋体"/>
                <w:lang w:val="en-US" w:eastAsia="zh-CN"/>
              </w:rPr>
            </w:pPr>
            <w:r>
              <w:rPr>
                <w:rFonts w:hint="eastAsia"/>
                <w:szCs w:val="21"/>
                <w:lang w:val="en-US" w:eastAsia="zh-CN"/>
              </w:rPr>
              <w:t>合规性评价</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行政人事部</w:t>
            </w:r>
            <w:r>
              <w:rPr>
                <w:rFonts w:hint="eastAsia" w:ascii="Times New Roman" w:hAnsi="Times New Roman" w:eastAsia="宋体" w:cs="Times New Roman"/>
                <w:szCs w:val="21"/>
              </w:rPr>
              <w:t>负责法律法规的收集、更新；查有《法律、法规及其他要求清单》，对本公司环境和职业健康安全管理体系适用的法律法规和当地政府、行业要求进行了识别，包括环境质量标准、排放标准、职业健康安全卫生标准等。收集技术标准</w:t>
            </w:r>
            <w:r>
              <w:rPr>
                <w:rFonts w:hint="eastAsia" w:ascii="Times New Roman" w:hAnsi="Times New Roman" w:eastAsia="宋体" w:cs="Times New Roman"/>
                <w:szCs w:val="21"/>
                <w:lang w:eastAsia="zh-CN"/>
              </w:rPr>
              <w:t>、</w:t>
            </w:r>
            <w:r>
              <w:rPr>
                <w:rFonts w:hint="eastAsia" w:cs="Times New Roman"/>
                <w:szCs w:val="21"/>
                <w:lang w:val="en-US" w:eastAsia="zh-CN"/>
              </w:rPr>
              <w:t>家具相关</w:t>
            </w:r>
            <w:r>
              <w:rPr>
                <w:rFonts w:hint="eastAsia" w:ascii="Times New Roman" w:hAnsi="Times New Roman" w:eastAsia="宋体" w:cs="Times New Roman"/>
                <w:szCs w:val="21"/>
              </w:rPr>
              <w:t>管理规范、</w:t>
            </w:r>
            <w:r>
              <w:rPr>
                <w:rFonts w:hint="eastAsia" w:cs="Times New Roman"/>
                <w:szCs w:val="21"/>
                <w:lang w:val="en-US" w:eastAsia="zh-CN"/>
              </w:rPr>
              <w:t>家具相关</w:t>
            </w:r>
            <w:r>
              <w:rPr>
                <w:rFonts w:hint="eastAsia" w:ascii="Times New Roman" w:hAnsi="Times New Roman" w:eastAsia="宋体" w:cs="Times New Roman"/>
                <w:szCs w:val="21"/>
              </w:rPr>
              <w:t>技术规程、检测验收规范，职业健康安全法规、环保标准……</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有《合规义务管理制度》，规定明确基本合理。</w:t>
            </w:r>
            <w:r>
              <w:rPr>
                <w:rFonts w:hint="eastAsia" w:ascii="Times New Roman" w:hAnsi="Times New Roman" w:eastAsia="宋体" w:cs="Times New Roman"/>
                <w:szCs w:val="21"/>
                <w:lang w:eastAsia="zh-CN"/>
              </w:rPr>
              <w:t>综合部</w:t>
            </w:r>
            <w:r>
              <w:rPr>
                <w:rFonts w:hint="eastAsia" w:ascii="Times New Roman" w:hAnsi="Times New Roman" w:eastAsia="宋体" w:cs="Times New Roman"/>
                <w:szCs w:val="21"/>
              </w:rPr>
              <w:t>组织对公司环境安全健康管理活动，遵守相关法律法规和其他要求情况进行评价，评价结果符合相关法律法规和其他要求，无违法违规情况并保持有合规性评价记录。</w:t>
            </w:r>
          </w:p>
          <w:p>
            <w:pPr>
              <w:spacing w:line="360" w:lineRule="auto"/>
              <w:ind w:firstLine="420" w:firstLineChars="200"/>
              <w:rPr>
                <w:rFonts w:hint="eastAsia"/>
                <w:szCs w:val="21"/>
              </w:rPr>
            </w:pPr>
            <w:r>
              <w:rPr>
                <w:rFonts w:hint="eastAsia" w:ascii="Times New Roman" w:hAnsi="Times New Roman" w:eastAsia="宋体" w:cs="Times New Roman"/>
                <w:szCs w:val="21"/>
              </w:rPr>
              <w:t>见《合规性评价报告》，详见二阶段。</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hint="eastAsia"/>
                <w:szCs w:val="21"/>
              </w:rPr>
            </w:pPr>
            <w:r>
              <w:rPr>
                <w:rFonts w:hint="eastAsia"/>
                <w:szCs w:val="21"/>
              </w:rPr>
              <w:t>环评报告及环评验收</w:t>
            </w:r>
          </w:p>
        </w:tc>
        <w:tc>
          <w:tcPr>
            <w:tcW w:w="960" w:type="dxa"/>
            <w:vAlign w:val="center"/>
          </w:tcPr>
          <w:p>
            <w:pPr>
              <w:widowControl/>
              <w:spacing w:line="360" w:lineRule="auto"/>
              <w:jc w:val="left"/>
              <w:rPr>
                <w:szCs w:val="21"/>
              </w:rPr>
            </w:pPr>
          </w:p>
        </w:tc>
        <w:tc>
          <w:tcPr>
            <w:tcW w:w="10880" w:type="dxa"/>
            <w:vAlign w:val="center"/>
          </w:tcPr>
          <w:p>
            <w:pPr>
              <w:pStyle w:val="2"/>
              <w:spacing w:line="360" w:lineRule="auto"/>
              <w:rPr>
                <w:rFonts w:hint="eastAsia" w:cs="Times New Roman"/>
                <w:szCs w:val="22"/>
                <w:lang w:val="en-US" w:eastAsia="zh-CN"/>
              </w:rPr>
            </w:pPr>
            <w:r>
              <w:rPr>
                <w:rFonts w:hint="eastAsia" w:cs="Times New Roman"/>
                <w:szCs w:val="22"/>
                <w:lang w:val="en-US" w:eastAsia="zh-CN"/>
              </w:rPr>
              <w:t>公司提供了《崇州市环境保护局关于四川瑞百丽尚品家具有限公司办公家具生产线项目环境影响报告表审查批复》崇环建评（2015）109号，2015年11月11日。</w:t>
            </w:r>
            <w:bookmarkStart w:id="1" w:name="_GoBack"/>
            <w:bookmarkEnd w:id="1"/>
          </w:p>
          <w:p>
            <w:pPr>
              <w:pStyle w:val="2"/>
              <w:spacing w:line="360" w:lineRule="auto"/>
              <w:rPr>
                <w:rFonts w:hint="eastAsia" w:cs="Times New Roman"/>
                <w:szCs w:val="22"/>
                <w:lang w:val="en-US" w:eastAsia="zh-CN"/>
              </w:rPr>
            </w:pPr>
            <w:r>
              <w:rPr>
                <w:rFonts w:hint="eastAsia" w:cs="Times New Roman"/>
                <w:szCs w:val="22"/>
                <w:lang w:val="en-US" w:eastAsia="zh-CN"/>
              </w:rPr>
              <w:t>提供了《建设项目竣工环境保护验收申请》，崇州市环保局2016年1月21日验收意见为：经验收监测，废水、废气、噪音达到相应的国家标志排放，验收合格，同意项目正式投入生产。</w:t>
            </w:r>
          </w:p>
          <w:p>
            <w:pPr>
              <w:pStyle w:val="2"/>
              <w:spacing w:line="360" w:lineRule="auto"/>
              <w:rPr>
                <w:rFonts w:hint="eastAsia" w:ascii="Times New Roman" w:hAnsi="Times New Roman" w:eastAsia="宋体" w:cs="Times New Roman"/>
                <w:szCs w:val="21"/>
              </w:rPr>
            </w:pPr>
            <w:r>
              <w:rPr>
                <w:rFonts w:hint="eastAsia" w:cs="Times New Roman"/>
                <w:szCs w:val="22"/>
                <w:lang w:val="en-US" w:eastAsia="zh-CN"/>
              </w:rPr>
              <w:t>提供了《成都市崇州生态环境局关于四川瑞百丽尚品家具有限公司定制家具生产线项目环境影响报告表审查批复》，崇环建评（2019）69号，2019年10月12日。</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szCs w:val="21"/>
              </w:rPr>
              <w:t>产品实现主要工艺</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pStyle w:val="2"/>
              <w:spacing w:line="360" w:lineRule="auto"/>
              <w:rPr>
                <w:rFonts w:hint="eastAsia"/>
                <w:szCs w:val="22"/>
                <w:lang w:val="en-US" w:eastAsia="zh-CN"/>
              </w:rPr>
            </w:pPr>
            <w:r>
              <w:rPr>
                <w:rFonts w:hint="eastAsia"/>
                <w:szCs w:val="22"/>
                <w:lang w:val="en-US" w:eastAsia="zh-CN"/>
              </w:rPr>
              <w:t>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w:t>
            </w:r>
          </w:p>
          <w:p>
            <w:pPr>
              <w:pStyle w:val="2"/>
              <w:spacing w:line="360" w:lineRule="auto"/>
              <w:rPr>
                <w:rFonts w:hint="eastAsia"/>
                <w:szCs w:val="22"/>
                <w:lang w:val="en-US" w:eastAsia="zh-CN"/>
              </w:rPr>
            </w:pPr>
            <w:r>
              <w:rPr>
                <w:rFonts w:hint="eastAsia"/>
                <w:szCs w:val="22"/>
                <w:lang w:val="en-US" w:eastAsia="zh-CN"/>
              </w:rPr>
              <w:t>生产流程：开料-造型-封边-排孔-组装-包装入库</w:t>
            </w:r>
          </w:p>
          <w:p>
            <w:pPr>
              <w:pStyle w:val="2"/>
              <w:spacing w:line="360" w:lineRule="auto"/>
              <w:rPr>
                <w:rFonts w:hint="eastAsia"/>
                <w:szCs w:val="22"/>
                <w:lang w:val="en-US" w:eastAsia="zh-CN"/>
              </w:rPr>
            </w:pPr>
            <w:r>
              <w:rPr>
                <w:rFonts w:hint="eastAsia"/>
                <w:szCs w:val="22"/>
                <w:lang w:val="en-US" w:eastAsia="zh-CN"/>
              </w:rPr>
              <w:t>木工板部分工艺流程：冷压贴面板(防火板)-开料-封边-排孔-打磨-底面漆-组装</w:t>
            </w:r>
          </w:p>
          <w:p>
            <w:pPr>
              <w:pStyle w:val="2"/>
              <w:spacing w:line="360" w:lineRule="auto"/>
              <w:rPr>
                <w:rFonts w:hint="eastAsia"/>
                <w:szCs w:val="22"/>
                <w:lang w:val="en-US" w:eastAsia="zh-CN"/>
              </w:rPr>
            </w:pPr>
            <w:r>
              <w:rPr>
                <w:rFonts w:hint="eastAsia"/>
                <w:szCs w:val="22"/>
                <w:lang w:val="en-US" w:eastAsia="zh-CN"/>
              </w:rPr>
              <w:t>铁件加工流程：下料-钻孔攻丝-焊接-打磨抛光-喷塑-烘烤-检验-组装</w:t>
            </w:r>
          </w:p>
          <w:p>
            <w:pPr>
              <w:pStyle w:val="2"/>
              <w:spacing w:line="360" w:lineRule="auto"/>
              <w:rPr>
                <w:rFonts w:hint="eastAsia"/>
                <w:szCs w:val="22"/>
                <w:lang w:val="en-US" w:eastAsia="zh-CN"/>
              </w:rPr>
            </w:pPr>
            <w:r>
              <w:rPr>
                <w:rFonts w:hint="eastAsia"/>
                <w:szCs w:val="22"/>
                <w:lang w:val="en-US" w:eastAsia="zh-CN"/>
              </w:rPr>
              <w:t>金属加工：下料-钻孔-焊接-成型-喷塑-烘烤-检验-组装-检验-包装-入库</w:t>
            </w:r>
          </w:p>
          <w:p>
            <w:pPr>
              <w:pStyle w:val="2"/>
              <w:spacing w:line="360" w:lineRule="auto"/>
              <w:rPr>
                <w:rFonts w:hint="eastAsia"/>
                <w:szCs w:val="22"/>
                <w:lang w:val="en-US" w:eastAsia="zh-CN"/>
              </w:rPr>
            </w:pPr>
            <w:r>
              <w:rPr>
                <w:rFonts w:hint="eastAsia"/>
                <w:szCs w:val="22"/>
                <w:lang w:val="en-US" w:eastAsia="zh-CN"/>
              </w:rPr>
              <w:t>木工加工：下料-钻孔-组装-检验</w:t>
            </w:r>
          </w:p>
          <w:p>
            <w:pPr>
              <w:pStyle w:val="2"/>
              <w:spacing w:line="360" w:lineRule="auto"/>
              <w:rPr>
                <w:rFonts w:hint="eastAsia"/>
                <w:szCs w:val="22"/>
                <w:lang w:val="en-US" w:eastAsia="zh-CN"/>
              </w:rPr>
            </w:pPr>
            <w:r>
              <w:rPr>
                <w:rFonts w:hint="eastAsia"/>
                <w:szCs w:val="22"/>
                <w:lang w:val="en-US" w:eastAsia="zh-CN"/>
              </w:rPr>
              <w:t xml:space="preserve">木床生产流程：下料-钻孔-封边-贴纸-油漆-组装-包装  </w:t>
            </w:r>
          </w:p>
          <w:p>
            <w:pPr>
              <w:pStyle w:val="2"/>
              <w:spacing w:line="360" w:lineRule="auto"/>
              <w:rPr>
                <w:rFonts w:hint="eastAsia"/>
                <w:szCs w:val="22"/>
                <w:lang w:val="en-US" w:eastAsia="zh-CN"/>
              </w:rPr>
            </w:pPr>
            <w:r>
              <w:rPr>
                <w:rFonts w:hint="eastAsia"/>
                <w:szCs w:val="22"/>
                <w:lang w:val="en-US" w:eastAsia="zh-CN"/>
              </w:rPr>
              <w:t>铁床：开料-成型-打磨-核正-焊接-打砂-喷塑-烘烤-检验-组装-打包-入库</w:t>
            </w:r>
          </w:p>
          <w:p>
            <w:pPr>
              <w:pStyle w:val="2"/>
              <w:spacing w:line="360" w:lineRule="auto"/>
              <w:rPr>
                <w:rFonts w:hint="eastAsia"/>
                <w:szCs w:val="22"/>
                <w:lang w:val="en-US" w:eastAsia="zh-CN"/>
              </w:rPr>
            </w:pPr>
            <w:r>
              <w:rPr>
                <w:rFonts w:hint="eastAsia"/>
                <w:szCs w:val="22"/>
                <w:lang w:val="en-US" w:eastAsia="zh-CN"/>
              </w:rPr>
              <w:t>木质办公家具：下料-封边-冷压-造型-排孔-组装-检验-组装-打包-入库</w:t>
            </w:r>
          </w:p>
          <w:p>
            <w:pPr>
              <w:pStyle w:val="2"/>
              <w:spacing w:line="360" w:lineRule="auto"/>
              <w:rPr>
                <w:rFonts w:hint="default" w:ascii="Times New Roman" w:hAnsi="Times New Roman" w:cs="Times New Roman"/>
                <w:szCs w:val="22"/>
                <w:lang w:val="en-US" w:eastAsia="zh-CN"/>
              </w:rPr>
            </w:pPr>
            <w:r>
              <w:rPr>
                <w:rFonts w:hint="eastAsia"/>
                <w:szCs w:val="22"/>
                <w:lang w:val="en-US" w:eastAsia="zh-CN"/>
              </w:rPr>
              <w:t>软体沙发：裁剪-缝制-绷皮-板材开料-打孔-钉架-成型-海绵选料-裁剪-粘连-组装-检验-包装-入库</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szCs w:val="21"/>
              </w:rPr>
              <w:t>方针、目标、指标和方案情况</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质量方针是：质量第一    精益求精    顾客至上    持续改进</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环境方针是：全员参与　　遵守法规　　预防为主　　持续改进</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职业健康安全方针是：安全第一    预防为主    遵守法规    确保安康</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质量目标</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1顾客满意率92%以上，每年提高，三年内达95%；</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2合同履约率100%，客户投诉处理率100%；</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3产品一次性交验合格率≥98%；</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环境目标指标</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1控制固体废弃物污染</w:t>
            </w:r>
            <w:r>
              <w:rPr>
                <w:rFonts w:hint="eastAsia" w:ascii="Times New Roman" w:hAnsi="Times New Roman" w:eastAsia="宋体" w:cs="Times New Roman"/>
                <w:szCs w:val="22"/>
              </w:rPr>
              <w:tab/>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①有毒有害固体废弃物收集处理率达到100%；</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②无毒无害固体废弃物收集处理率≥95%；</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2 控制污水污染</w:t>
            </w:r>
            <w:r>
              <w:rPr>
                <w:rFonts w:hint="eastAsia" w:ascii="Times New Roman" w:hAnsi="Times New Roman" w:eastAsia="宋体" w:cs="Times New Roman"/>
                <w:szCs w:val="22"/>
              </w:rPr>
              <w:tab/>
            </w:r>
            <w:r>
              <w:rPr>
                <w:rFonts w:hint="eastAsia" w:ascii="Times New Roman" w:hAnsi="Times New Roman" w:eastAsia="宋体" w:cs="Times New Roman"/>
                <w:szCs w:val="22"/>
              </w:rPr>
              <w:t>生产、生活污水处理排放率100%；</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3控制噪声扰民</w:t>
            </w:r>
            <w:r>
              <w:rPr>
                <w:rFonts w:hint="eastAsia" w:ascii="Times New Roman" w:hAnsi="Times New Roman" w:eastAsia="宋体" w:cs="Times New Roman"/>
                <w:szCs w:val="22"/>
              </w:rPr>
              <w:tab/>
            </w:r>
            <w:r>
              <w:rPr>
                <w:rFonts w:hint="eastAsia" w:ascii="Times New Roman" w:hAnsi="Times New Roman" w:eastAsia="宋体" w:cs="Times New Roman"/>
                <w:szCs w:val="22"/>
              </w:rPr>
              <w:t>噪声扰民投诉为零；</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4控制粉尘污染</w:t>
            </w:r>
            <w:r>
              <w:rPr>
                <w:rFonts w:hint="eastAsia" w:ascii="Times New Roman" w:hAnsi="Times New Roman" w:eastAsia="宋体" w:cs="Times New Roman"/>
                <w:szCs w:val="22"/>
              </w:rPr>
              <w:tab/>
            </w:r>
            <w:r>
              <w:rPr>
                <w:rFonts w:hint="eastAsia" w:ascii="Times New Roman" w:hAnsi="Times New Roman" w:eastAsia="宋体" w:cs="Times New Roman"/>
                <w:szCs w:val="22"/>
              </w:rPr>
              <w:t>生产现场目视无粉尘；</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5 节能降耗</w:t>
            </w:r>
            <w:r>
              <w:rPr>
                <w:rFonts w:hint="eastAsia" w:ascii="Times New Roman" w:hAnsi="Times New Roman" w:eastAsia="宋体" w:cs="Times New Roman"/>
                <w:szCs w:val="22"/>
              </w:rPr>
              <w:tab/>
            </w:r>
            <w:r>
              <w:rPr>
                <w:rFonts w:hint="eastAsia" w:ascii="Times New Roman" w:hAnsi="Times New Roman" w:eastAsia="宋体" w:cs="Times New Roman"/>
                <w:szCs w:val="22"/>
              </w:rPr>
              <w:t>用水，用电比预算节约1.5%以上；</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生产现场材料有效利用率≥95%；</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职业健康安全目标指标</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1预防伤亡事故的发生；</w:t>
            </w:r>
            <w:r>
              <w:rPr>
                <w:rFonts w:hint="eastAsia" w:ascii="Times New Roman" w:hAnsi="Times New Roman" w:eastAsia="宋体" w:cs="Times New Roman"/>
                <w:szCs w:val="22"/>
              </w:rPr>
              <w:tab/>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①年度重大伤害事故为零；</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②年度轻伤事故频率≤0.3%；</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2预防职业病发生</w:t>
            </w:r>
            <w:r>
              <w:rPr>
                <w:rFonts w:hint="eastAsia" w:ascii="Times New Roman" w:hAnsi="Times New Roman" w:eastAsia="宋体" w:cs="Times New Roman"/>
                <w:szCs w:val="22"/>
              </w:rPr>
              <w:tab/>
            </w:r>
            <w:r>
              <w:rPr>
                <w:rFonts w:hint="eastAsia" w:ascii="Times New Roman" w:hAnsi="Times New Roman" w:eastAsia="宋体" w:cs="Times New Roman"/>
                <w:szCs w:val="22"/>
              </w:rPr>
              <w:t>职业病控制年度为零；</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3 预防火灾 爆炸事故发生</w:t>
            </w:r>
            <w:r>
              <w:rPr>
                <w:rFonts w:hint="eastAsia" w:ascii="Times New Roman" w:hAnsi="Times New Roman" w:eastAsia="宋体" w:cs="Times New Roman"/>
                <w:szCs w:val="22"/>
              </w:rPr>
              <w:tab/>
            </w:r>
            <w:r>
              <w:rPr>
                <w:rFonts w:hint="eastAsia" w:ascii="Times New Roman" w:hAnsi="Times New Roman" w:eastAsia="宋体" w:cs="Times New Roman"/>
                <w:szCs w:val="22"/>
              </w:rPr>
              <w:t>全年火灾 爆炸事故为0。</w:t>
            </w:r>
          </w:p>
          <w:p>
            <w:pPr>
              <w:spacing w:line="360" w:lineRule="auto"/>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查《目标考核表》20</w:t>
            </w:r>
            <w:r>
              <w:rPr>
                <w:rFonts w:hint="eastAsia" w:ascii="Times New Roman" w:hAnsi="Times New Roman" w:eastAsia="宋体" w:cs="Times New Roman"/>
                <w:color w:val="auto"/>
                <w:szCs w:val="22"/>
                <w:lang w:val="en-US" w:eastAsia="zh-CN"/>
              </w:rPr>
              <w:t>21</w:t>
            </w:r>
            <w:r>
              <w:rPr>
                <w:rFonts w:hint="eastAsia" w:ascii="Times New Roman" w:hAnsi="Times New Roman" w:eastAsia="宋体" w:cs="Times New Roman"/>
                <w:color w:val="auto"/>
                <w:szCs w:val="22"/>
              </w:rPr>
              <w:t>年</w:t>
            </w:r>
            <w:r>
              <w:rPr>
                <w:rFonts w:hint="eastAsia" w:ascii="Times New Roman" w:hAnsi="Times New Roman" w:eastAsia="宋体" w:cs="Times New Roman"/>
                <w:color w:val="auto"/>
                <w:szCs w:val="22"/>
                <w:lang w:val="en-US" w:eastAsia="zh-CN"/>
              </w:rPr>
              <w:t>1</w:t>
            </w:r>
            <w:r>
              <w:rPr>
                <w:rFonts w:hint="eastAsia" w:ascii="Times New Roman" w:hAnsi="Times New Roman" w:eastAsia="宋体" w:cs="Times New Roman"/>
                <w:color w:val="auto"/>
                <w:szCs w:val="22"/>
              </w:rPr>
              <w:t>月</w:t>
            </w:r>
            <w:r>
              <w:rPr>
                <w:rFonts w:hint="eastAsia" w:cs="Times New Roman"/>
                <w:color w:val="auto"/>
                <w:szCs w:val="22"/>
                <w:lang w:val="en-US" w:eastAsia="zh-CN"/>
              </w:rPr>
              <w:t>6</w:t>
            </w:r>
            <w:r>
              <w:rPr>
                <w:rFonts w:hint="eastAsia" w:ascii="Times New Roman" w:hAnsi="Times New Roman" w:eastAsia="宋体" w:cs="Times New Roman"/>
                <w:color w:val="auto"/>
                <w:szCs w:val="22"/>
                <w:lang w:val="en-US" w:eastAsia="zh-CN"/>
              </w:rPr>
              <w:t>日</w:t>
            </w:r>
            <w:r>
              <w:rPr>
                <w:rFonts w:hint="eastAsia" w:ascii="Times New Roman" w:hAnsi="Times New Roman" w:eastAsia="宋体" w:cs="Times New Roman"/>
                <w:color w:val="auto"/>
                <w:szCs w:val="22"/>
              </w:rPr>
              <w:t>，对目标进行考核，均达到目标，</w:t>
            </w:r>
          </w:p>
          <w:p>
            <w:pPr>
              <w:spacing w:line="360" w:lineRule="auto"/>
              <w:ind w:firstLine="420" w:firstLineChars="200"/>
              <w:rPr>
                <w:rFonts w:hint="eastAsia"/>
              </w:rPr>
            </w:pPr>
            <w:r>
              <w:rPr>
                <w:rFonts w:hint="eastAsia" w:ascii="Times New Roman" w:hAnsi="Times New Roman" w:eastAsia="宋体" w:cs="Times New Roman"/>
                <w:szCs w:val="22"/>
                <w:lang w:val="en-US" w:eastAsia="zh-CN"/>
              </w:rPr>
              <w:t>《环境目标指标管理方案》和《安全目标、指标、管理方案》，环境、安全运行检查，具体详见二阶段。</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160" w:type="dxa"/>
          </w:tcPr>
          <w:p>
            <w:pPr>
              <w:spacing w:line="360" w:lineRule="auto"/>
              <w:rPr>
                <w:color w:val="auto"/>
                <w:szCs w:val="21"/>
              </w:rPr>
            </w:pPr>
            <w:r>
              <w:rPr>
                <w:rFonts w:hint="eastAsia"/>
                <w:color w:val="auto"/>
                <w:szCs w:val="21"/>
              </w:rPr>
              <w:t>重要环境因素、</w:t>
            </w:r>
          </w:p>
          <w:p>
            <w:pPr>
              <w:spacing w:line="360" w:lineRule="auto"/>
              <w:rPr>
                <w:color w:val="auto"/>
                <w:szCs w:val="21"/>
              </w:rPr>
            </w:pPr>
            <w:r>
              <w:rPr>
                <w:rFonts w:hint="eastAsia"/>
                <w:color w:val="auto"/>
                <w:szCs w:val="21"/>
              </w:rPr>
              <w:t>不可接受危险源</w:t>
            </w:r>
          </w:p>
          <w:p>
            <w:pPr>
              <w:spacing w:line="360" w:lineRule="auto"/>
              <w:rPr>
                <w:color w:val="auto"/>
                <w:szCs w:val="21"/>
              </w:rPr>
            </w:pPr>
          </w:p>
        </w:tc>
        <w:tc>
          <w:tcPr>
            <w:tcW w:w="960" w:type="dxa"/>
          </w:tcPr>
          <w:p>
            <w:pPr>
              <w:spacing w:line="360" w:lineRule="auto"/>
              <w:rPr>
                <w:color w:val="auto"/>
                <w:szCs w:val="21"/>
              </w:rPr>
            </w:pPr>
          </w:p>
        </w:tc>
        <w:tc>
          <w:tcPr>
            <w:tcW w:w="10880" w:type="dxa"/>
          </w:tcPr>
          <w:p>
            <w:pPr>
              <w:spacing w:line="360" w:lineRule="auto"/>
              <w:rPr>
                <w:rFonts w:hint="eastAsia" w:ascii="Times New Roman" w:hAnsi="Times New Roman" w:cs="Times New Roman"/>
                <w:color w:val="auto"/>
                <w:szCs w:val="21"/>
              </w:rPr>
            </w:pPr>
            <w:r>
              <w:rPr>
                <w:rFonts w:hint="eastAsia"/>
                <w:color w:val="auto"/>
                <w:szCs w:val="21"/>
              </w:rPr>
              <w:t>编制了《环境因素的识别与评价控制程序》《危险源辩识、风险评价和风险控制策划程序》符合标准要求</w:t>
            </w:r>
            <w:r>
              <w:rPr>
                <w:color w:val="auto"/>
                <w:szCs w:val="21"/>
              </w:rPr>
              <w:t>.</w:t>
            </w:r>
            <w:r>
              <w:rPr>
                <w:rFonts w:hint="eastAsia"/>
                <w:color w:val="auto"/>
                <w:szCs w:val="21"/>
              </w:rPr>
              <w:t>提供的“环境因素识别评价表”“重要环境因素清单”，</w:t>
            </w:r>
            <w:r>
              <w:rPr>
                <w:color w:val="auto"/>
                <w:szCs w:val="21"/>
              </w:rPr>
              <w:t xml:space="preserve"> </w:t>
            </w:r>
            <w:r>
              <w:rPr>
                <w:rFonts w:hint="eastAsia"/>
                <w:color w:val="auto"/>
                <w:szCs w:val="21"/>
              </w:rPr>
              <w:t>评价考虑了三种时态现在、过去、将来、三种状态、异常、正常、紧急考虑了</w:t>
            </w:r>
            <w:r>
              <w:rPr>
                <w:rFonts w:hint="eastAsia" w:ascii="Times New Roman" w:hAnsi="Times New Roman" w:cs="Times New Roman"/>
                <w:color w:val="auto"/>
                <w:szCs w:val="21"/>
              </w:rPr>
              <w:t>法律法规，并进行了评价。对重要环境因素的控制措施包括制定管理制度、监督检查、应急预案、培训等。</w:t>
            </w:r>
          </w:p>
          <w:p>
            <w:pPr>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查见《重要环境因素清单》，已将“</w:t>
            </w:r>
            <w:r>
              <w:rPr>
                <w:rFonts w:hint="eastAsia" w:asciiTheme="minorEastAsia" w:hAnsiTheme="minorEastAsia" w:eastAsiaTheme="minorEastAsia" w:cstheme="minorEastAsia"/>
                <w:color w:val="auto"/>
                <w:sz w:val="21"/>
                <w:szCs w:val="21"/>
                <w:lang w:val="en-US" w:eastAsia="zh-CN"/>
              </w:rPr>
              <w:t>固废、火灾、噪音</w:t>
            </w:r>
            <w:r>
              <w:rPr>
                <w:rFonts w:hint="eastAsia" w:asciiTheme="minorEastAsia" w:hAnsiTheme="minorEastAsia" w:eastAsiaTheme="minorEastAsia" w:cstheme="minorEastAsia"/>
                <w:color w:val="auto"/>
                <w:sz w:val="21"/>
                <w:szCs w:val="21"/>
              </w:rPr>
              <w:t>。”等内容列入重要环境因素</w:t>
            </w:r>
            <w:r>
              <w:rPr>
                <w:rFonts w:hint="eastAsia" w:asciiTheme="minorEastAsia" w:hAnsiTheme="minorEastAsia" w:eastAsiaTheme="minorEastAsia" w:cstheme="minorEastAsia"/>
                <w:color w:val="auto"/>
                <w:sz w:val="21"/>
                <w:szCs w:val="21"/>
                <w:lang w:eastAsia="zh-CN"/>
              </w:rPr>
              <w:t>。</w:t>
            </w:r>
          </w:p>
          <w:p>
            <w:pPr>
              <w:spacing w:line="360" w:lineRule="auto"/>
              <w:rPr>
                <w:rFonts w:hint="eastAsia" w:eastAsia="宋体"/>
                <w:color w:val="auto"/>
                <w:szCs w:val="21"/>
                <w:lang w:eastAsia="zh-CN"/>
              </w:rPr>
            </w:pPr>
            <w:r>
              <w:rPr>
                <w:rFonts w:hint="eastAsia" w:asciiTheme="minorEastAsia" w:hAnsiTheme="minorEastAsia" w:eastAsiaTheme="minorEastAsia" w:cstheme="minorEastAsia"/>
                <w:color w:val="auto"/>
                <w:sz w:val="21"/>
                <w:szCs w:val="21"/>
              </w:rPr>
              <w:t>不可接受风险有：火灾、触电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机械伤害</w:t>
            </w:r>
            <w:r>
              <w:rPr>
                <w:rFonts w:hint="eastAsia" w:asciiTheme="minorEastAsia" w:hAnsiTheme="minorEastAsia" w:eastAsiaTheme="minorEastAsia" w:cstheme="minorEastAsia"/>
                <w:color w:val="auto"/>
                <w:sz w:val="21"/>
                <w:szCs w:val="21"/>
              </w:rPr>
              <w:t>等项。</w:t>
            </w:r>
            <w:r>
              <w:rPr>
                <w:rFonts w:hint="eastAsia" w:ascii="Times New Roman" w:hAnsi="Times New Roman" w:cs="Times New Roman"/>
                <w:color w:val="auto"/>
                <w:szCs w:val="21"/>
              </w:rPr>
              <w:t>二阶段进行进一步关注</w:t>
            </w:r>
            <w:r>
              <w:rPr>
                <w:rFonts w:hint="eastAsia" w:cs="Times New Roman"/>
                <w:color w:val="auto"/>
                <w:szCs w:val="21"/>
                <w:lang w:eastAsia="zh-CN"/>
              </w:rPr>
              <w:t>。</w:t>
            </w:r>
          </w:p>
        </w:tc>
        <w:tc>
          <w:tcPr>
            <w:tcW w:w="709" w:type="dxa"/>
          </w:tcPr>
          <w:p>
            <w:pPr>
              <w:pStyle w:val="2"/>
              <w:spacing w:line="360" w:lineRule="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Pr>
          <w:p>
            <w:pPr>
              <w:spacing w:line="360" w:lineRule="auto"/>
              <w:rPr>
                <w:color w:val="auto"/>
                <w:szCs w:val="21"/>
              </w:rPr>
            </w:pPr>
            <w:r>
              <w:rPr>
                <w:rFonts w:hint="eastAsia"/>
                <w:color w:val="auto"/>
                <w:szCs w:val="21"/>
              </w:rPr>
              <w:t>内审情况</w:t>
            </w:r>
          </w:p>
          <w:p>
            <w:pPr>
              <w:spacing w:line="360" w:lineRule="auto"/>
              <w:rPr>
                <w:color w:val="auto"/>
                <w:szCs w:val="21"/>
              </w:rPr>
            </w:pPr>
            <w:r>
              <w:rPr>
                <w:rFonts w:hint="eastAsia"/>
                <w:color w:val="auto"/>
                <w:szCs w:val="21"/>
              </w:rPr>
              <w:t>管理评审</w:t>
            </w:r>
          </w:p>
        </w:tc>
        <w:tc>
          <w:tcPr>
            <w:tcW w:w="960" w:type="dxa"/>
          </w:tcPr>
          <w:p>
            <w:pPr>
              <w:spacing w:line="360" w:lineRule="auto"/>
              <w:rPr>
                <w:color w:val="auto"/>
                <w:szCs w:val="21"/>
              </w:rPr>
            </w:pPr>
          </w:p>
        </w:tc>
        <w:tc>
          <w:tcPr>
            <w:tcW w:w="10880" w:type="dxa"/>
          </w:tcPr>
          <w:p>
            <w:pPr>
              <w:spacing w:line="360" w:lineRule="auto"/>
              <w:rPr>
                <w:rFonts w:hint="eastAsia" w:ascii="Times New Roman" w:hAnsi="Times New Roman" w:cs="Times New Roman"/>
                <w:color w:val="auto"/>
                <w:szCs w:val="21"/>
              </w:rPr>
            </w:pPr>
            <w:r>
              <w:rPr>
                <w:rFonts w:hint="eastAsia"/>
                <w:color w:val="auto"/>
                <w:szCs w:val="21"/>
              </w:rPr>
              <w:t>公司于</w:t>
            </w:r>
            <w:r>
              <w:rPr>
                <w:rFonts w:hint="eastAsia" w:ascii="Times New Roman" w:hAnsi="Times New Roman" w:cs="Times New Roman"/>
                <w:color w:val="auto"/>
                <w:szCs w:val="21"/>
                <w:lang w:val="en-US" w:eastAsia="zh-CN"/>
              </w:rPr>
              <w:t>2021年3月4-5日</w:t>
            </w:r>
            <w:r>
              <w:rPr>
                <w:rFonts w:hint="eastAsia" w:ascii="Times New Roman" w:hAnsi="Times New Roman" w:cs="Times New Roman"/>
                <w:color w:val="auto"/>
                <w:szCs w:val="21"/>
              </w:rPr>
              <w:t>开展内部审核进行一次内审，提供了</w:t>
            </w:r>
            <w:r>
              <w:rPr>
                <w:rFonts w:hint="eastAsia" w:asciiTheme="minorEastAsia" w:hAnsiTheme="minorEastAsia" w:eastAsiaTheme="minorEastAsia" w:cstheme="minorEastAsia"/>
                <w:color w:val="auto"/>
                <w:sz w:val="21"/>
                <w:szCs w:val="21"/>
                <w:lang w:val="en-US" w:eastAsia="zh-CN"/>
              </w:rPr>
              <w:t>内审计划、内审记录、不符合报告、内审报告等，</w:t>
            </w:r>
          </w:p>
          <w:p>
            <w:pPr>
              <w:spacing w:line="360" w:lineRule="auto"/>
              <w:rPr>
                <w:rFonts w:hint="eastAsia"/>
                <w:color w:val="auto"/>
                <w:szCs w:val="21"/>
              </w:rPr>
            </w:pPr>
            <w:r>
              <w:rPr>
                <w:rFonts w:hint="eastAsia" w:ascii="Times New Roman" w:hAnsi="Times New Roman" w:cs="Times New Roman"/>
                <w:color w:val="auto"/>
                <w:szCs w:val="21"/>
              </w:rPr>
              <w:t>20</w:t>
            </w:r>
            <w:r>
              <w:rPr>
                <w:rFonts w:hint="eastAsia" w:ascii="Times New Roman" w:hAnsi="Times New Roman" w:cs="Times New Roman"/>
                <w:color w:val="auto"/>
                <w:szCs w:val="21"/>
                <w:lang w:val="en-US" w:eastAsia="zh-CN"/>
              </w:rPr>
              <w:t>21</w:t>
            </w:r>
            <w:r>
              <w:rPr>
                <w:rFonts w:hint="eastAsia" w:ascii="Times New Roman" w:hAnsi="Times New Roman" w:cs="Times New Roman"/>
                <w:color w:val="auto"/>
                <w:szCs w:val="21"/>
              </w:rPr>
              <w:t>年</w:t>
            </w:r>
            <w:r>
              <w:rPr>
                <w:rFonts w:hint="eastAsia" w:ascii="Times New Roman" w:hAnsi="Times New Roman" w:cs="Times New Roman"/>
                <w:color w:val="auto"/>
                <w:szCs w:val="21"/>
                <w:lang w:val="en-US" w:eastAsia="zh-CN"/>
              </w:rPr>
              <w:t>3</w:t>
            </w:r>
            <w:r>
              <w:rPr>
                <w:rFonts w:hint="eastAsia" w:ascii="Times New Roman" w:hAnsi="Times New Roman" w:cs="Times New Roman"/>
                <w:color w:val="auto"/>
                <w:szCs w:val="21"/>
              </w:rPr>
              <w:t>月</w:t>
            </w:r>
            <w:r>
              <w:rPr>
                <w:rFonts w:hint="eastAsia" w:ascii="Times New Roman" w:hAnsi="Times New Roman" w:cs="Times New Roman"/>
                <w:color w:val="auto"/>
                <w:szCs w:val="21"/>
                <w:lang w:val="en-US" w:eastAsia="zh-CN"/>
              </w:rPr>
              <w:t>15</w:t>
            </w:r>
            <w:r>
              <w:rPr>
                <w:rFonts w:hint="eastAsia" w:ascii="Times New Roman" w:hAnsi="Times New Roman" w:cs="Times New Roman"/>
                <w:color w:val="auto"/>
                <w:szCs w:val="21"/>
              </w:rPr>
              <w:t>日召开了管理评审会议，由</w:t>
            </w:r>
            <w:r>
              <w:rPr>
                <w:rFonts w:hint="eastAsia"/>
                <w:color w:val="auto"/>
                <w:szCs w:val="21"/>
              </w:rPr>
              <w:t>总经理主持。提供管理评审报告，具体内容，二阶段进一步审核。</w:t>
            </w:r>
          </w:p>
        </w:tc>
        <w:tc>
          <w:tcPr>
            <w:tcW w:w="709" w:type="dxa"/>
          </w:tcPr>
          <w:p>
            <w:pPr>
              <w:pStyle w:val="2"/>
              <w:spacing w:line="360" w:lineRule="auto"/>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160" w:type="dxa"/>
          </w:tcPr>
          <w:p>
            <w:pPr>
              <w:spacing w:line="360" w:lineRule="auto"/>
              <w:rPr>
                <w:color w:val="auto"/>
                <w:szCs w:val="21"/>
              </w:rPr>
            </w:pPr>
          </w:p>
          <w:p>
            <w:pPr>
              <w:spacing w:line="360" w:lineRule="auto"/>
              <w:rPr>
                <w:color w:val="auto"/>
                <w:szCs w:val="21"/>
              </w:rPr>
            </w:pPr>
          </w:p>
          <w:p>
            <w:pPr>
              <w:spacing w:line="360" w:lineRule="auto"/>
              <w:rPr>
                <w:color w:val="auto"/>
                <w:szCs w:val="21"/>
              </w:rPr>
            </w:pPr>
            <w:r>
              <w:rPr>
                <w:rFonts w:hint="eastAsia"/>
                <w:color w:val="auto"/>
                <w:szCs w:val="21"/>
              </w:rPr>
              <w:t>设备设施（包括信息系统）</w:t>
            </w:r>
          </w:p>
          <w:p>
            <w:pPr>
              <w:spacing w:line="360" w:lineRule="auto"/>
              <w:rPr>
                <w:color w:val="auto"/>
                <w:szCs w:val="21"/>
              </w:rPr>
            </w:pPr>
            <w:r>
              <w:rPr>
                <w:rFonts w:hint="eastAsia"/>
                <w:color w:val="auto"/>
                <w:szCs w:val="21"/>
              </w:rPr>
              <w:t>特种设备</w:t>
            </w:r>
          </w:p>
          <w:p>
            <w:pPr>
              <w:spacing w:line="360" w:lineRule="auto"/>
              <w:rPr>
                <w:color w:val="auto"/>
                <w:szCs w:val="21"/>
              </w:rPr>
            </w:pPr>
            <w:r>
              <w:rPr>
                <w:rFonts w:hint="eastAsia"/>
                <w:color w:val="auto"/>
                <w:szCs w:val="21"/>
              </w:rPr>
              <w:t>监视和测量资源</w:t>
            </w:r>
          </w:p>
          <w:p>
            <w:pPr>
              <w:spacing w:line="360" w:lineRule="auto"/>
              <w:rPr>
                <w:rFonts w:hint="eastAsia"/>
                <w:color w:val="auto"/>
                <w:szCs w:val="21"/>
              </w:rPr>
            </w:pPr>
            <w:r>
              <w:rPr>
                <w:rFonts w:hint="eastAsia"/>
                <w:color w:val="auto"/>
                <w:szCs w:val="21"/>
              </w:rPr>
              <w:t>环保、安全设施</w:t>
            </w:r>
          </w:p>
        </w:tc>
        <w:tc>
          <w:tcPr>
            <w:tcW w:w="960" w:type="dxa"/>
          </w:tcPr>
          <w:p>
            <w:pPr>
              <w:spacing w:line="360" w:lineRule="auto"/>
              <w:rPr>
                <w:color w:val="auto"/>
                <w:szCs w:val="21"/>
              </w:rPr>
            </w:pPr>
          </w:p>
        </w:tc>
        <w:tc>
          <w:tcPr>
            <w:tcW w:w="10880" w:type="dxa"/>
          </w:tcPr>
          <w:p>
            <w:pPr>
              <w:spacing w:line="360" w:lineRule="auto"/>
              <w:rPr>
                <w:rFonts w:hint="eastAsia" w:eastAsia="宋体"/>
                <w:color w:val="auto"/>
                <w:szCs w:val="21"/>
                <w:lang w:val="en-US" w:eastAsia="zh-CN"/>
              </w:rPr>
            </w:pPr>
            <w:r>
              <w:rPr>
                <w:rFonts w:hint="eastAsia"/>
                <w:color w:val="auto"/>
                <w:szCs w:val="21"/>
              </w:rPr>
              <w:t>主要设备：</w:t>
            </w:r>
            <w:r>
              <w:rPr>
                <w:rFonts w:hint="eastAsia"/>
                <w:color w:val="auto"/>
                <w:szCs w:val="21"/>
                <w:lang w:val="en-US" w:eastAsia="zh-CN"/>
              </w:rPr>
              <w:t>液压升降平台、欧登多下料锯、电子开料锯、往复锯、螺杆式50T冷压机、青城牌铣床、切割机、砂带机、牧田大锣机、牧田锣机、锣机、马氏镂铣机、大有曲线锯、震帮牌下料锯、推台锯、创星雕刻机、雕刻机(锣机)、极东封边机WDX328A、封边机、南兴手动封边机、上下同心钻、威德力吸尘器、台式钻床、资阳6.3T冲床、冲床、铝材角度切割机、牧田铝材切割机、开式可倾压刀机、螺杆空压机、台钻、吸尘器、打包机、空压机、铆爪母机、450带锯、海菱牌电动针车、60L喷胶机、马氏六排钻、东全自动六排钻、迪码牌三排钻、木工除尘器、废气处理设备等设备，办公区设备：</w:t>
            </w:r>
            <w:r>
              <w:rPr>
                <w:rFonts w:hint="eastAsia" w:cs="Times New Roman"/>
                <w:color w:val="auto"/>
                <w:szCs w:val="21"/>
                <w:lang w:val="en-US" w:eastAsia="zh-CN"/>
              </w:rPr>
              <w:t>台式计算机、笔记本、打印复印机、office办公软件</w:t>
            </w:r>
            <w:r>
              <w:rPr>
                <w:rFonts w:hint="eastAsia" w:ascii="Times New Roman" w:hAnsi="Times New Roman" w:eastAsia="宋体" w:cs="Times New Roman"/>
                <w:color w:val="auto"/>
                <w:szCs w:val="21"/>
                <w:lang w:val="en-US" w:eastAsia="zh-CN"/>
              </w:rPr>
              <w:t>等。</w:t>
            </w:r>
          </w:p>
          <w:p>
            <w:pPr>
              <w:spacing w:line="360" w:lineRule="auto"/>
              <w:rPr>
                <w:rFonts w:hint="default"/>
                <w:color w:val="auto"/>
                <w:szCs w:val="21"/>
                <w:lang w:val="en-US" w:eastAsia="zh-CN"/>
              </w:rPr>
            </w:pPr>
            <w:r>
              <w:rPr>
                <w:rFonts w:hint="eastAsia"/>
                <w:color w:val="auto"/>
                <w:szCs w:val="21"/>
                <w:lang w:val="en-US" w:eastAsia="zh-CN"/>
              </w:rPr>
              <w:t>特种设备：空压机—（空气过滤器）。</w:t>
            </w:r>
          </w:p>
          <w:p>
            <w:pPr>
              <w:spacing w:line="360" w:lineRule="auto"/>
              <w:rPr>
                <w:rFonts w:hint="eastAsia"/>
                <w:color w:val="auto"/>
                <w:szCs w:val="21"/>
                <w:lang w:eastAsia="zh-CN"/>
              </w:rPr>
            </w:pPr>
            <w:r>
              <w:rPr>
                <w:rFonts w:hint="eastAsia"/>
                <w:color w:val="auto"/>
                <w:szCs w:val="21"/>
                <w:lang w:val="en-US" w:eastAsia="zh-CN"/>
              </w:rPr>
              <w:t>见</w:t>
            </w:r>
            <w:r>
              <w:rPr>
                <w:rFonts w:hint="eastAsia"/>
                <w:color w:val="auto"/>
                <w:szCs w:val="21"/>
              </w:rPr>
              <w:t>《设备维修保养计划》、《设备维修保养记录》，运行维护基本有效</w:t>
            </w:r>
            <w:r>
              <w:rPr>
                <w:rFonts w:hint="eastAsia"/>
                <w:color w:val="auto"/>
                <w:szCs w:val="21"/>
                <w:lang w:eastAsia="zh-CN"/>
              </w:rPr>
              <w:t>。</w:t>
            </w:r>
          </w:p>
          <w:p>
            <w:pPr>
              <w:spacing w:line="360" w:lineRule="auto"/>
              <w:rPr>
                <w:rFonts w:hint="default"/>
                <w:color w:val="auto"/>
                <w:szCs w:val="21"/>
                <w:lang w:val="en-US" w:eastAsia="zh-CN"/>
              </w:rPr>
            </w:pPr>
            <w:r>
              <w:rPr>
                <w:rFonts w:hint="eastAsia"/>
                <w:color w:val="auto"/>
                <w:szCs w:val="21"/>
              </w:rPr>
              <w:t>监视和测量设备</w:t>
            </w:r>
            <w:r>
              <w:rPr>
                <w:rFonts w:hint="eastAsia"/>
                <w:color w:val="auto"/>
                <w:szCs w:val="21"/>
                <w:lang w:eastAsia="zh-CN"/>
              </w:rPr>
              <w:t>：钢卷尺、游标卡尺、外径千分尺、电子称</w:t>
            </w:r>
            <w:r>
              <w:rPr>
                <w:rFonts w:hint="eastAsia"/>
                <w:color w:val="auto"/>
                <w:szCs w:val="21"/>
                <w:lang w:val="en-US" w:eastAsia="zh-CN"/>
              </w:rPr>
              <w:t>。</w:t>
            </w:r>
          </w:p>
          <w:p>
            <w:pPr>
              <w:spacing w:line="360" w:lineRule="auto"/>
              <w:rPr>
                <w:rFonts w:hint="eastAsia"/>
                <w:color w:val="auto"/>
                <w:szCs w:val="21"/>
              </w:rPr>
            </w:pPr>
            <w:r>
              <w:rPr>
                <w:rFonts w:hint="eastAsia"/>
                <w:color w:val="auto"/>
                <w:szCs w:val="21"/>
              </w:rPr>
              <w:t>环保、安全设施有：</w:t>
            </w:r>
            <w:r>
              <w:rPr>
                <w:rFonts w:hint="eastAsia"/>
                <w:color w:val="auto"/>
                <w:szCs w:val="21"/>
                <w:lang w:val="en-US" w:eastAsia="zh-CN"/>
              </w:rPr>
              <w:t>粉尘收集系统、有机气体处理系统、危险废弃物仓库、</w:t>
            </w:r>
            <w:r>
              <w:rPr>
                <w:rFonts w:hint="eastAsia"/>
                <w:color w:val="auto"/>
                <w:szCs w:val="21"/>
              </w:rPr>
              <w:t>垃圾桶、</w:t>
            </w:r>
            <w:r>
              <w:rPr>
                <w:rFonts w:hint="eastAsia"/>
                <w:color w:val="auto"/>
                <w:szCs w:val="21"/>
                <w:lang w:val="en-US" w:eastAsia="zh-CN"/>
              </w:rPr>
              <w:t>消火栓</w:t>
            </w:r>
            <w:r>
              <w:rPr>
                <w:rFonts w:hint="eastAsia"/>
                <w:color w:val="auto"/>
                <w:szCs w:val="21"/>
              </w:rPr>
              <w:t>；安全设施配置主要有：灭火器、消防器材等，</w:t>
            </w:r>
            <w:r>
              <w:rPr>
                <w:rFonts w:hint="eastAsia"/>
                <w:color w:val="auto"/>
                <w:szCs w:val="21"/>
                <w:lang w:val="en-US" w:eastAsia="zh-CN"/>
              </w:rPr>
              <w:t>由生产部员工</w:t>
            </w:r>
            <w:r>
              <w:rPr>
                <w:rFonts w:hint="eastAsia"/>
                <w:color w:val="auto"/>
                <w:szCs w:val="21"/>
              </w:rPr>
              <w:t>定期</w:t>
            </w:r>
            <w:r>
              <w:rPr>
                <w:rFonts w:hint="eastAsia"/>
                <w:color w:val="auto"/>
                <w:szCs w:val="21"/>
                <w:lang w:val="en-US" w:eastAsia="zh-CN"/>
              </w:rPr>
              <w:t>检查、</w:t>
            </w:r>
            <w:r>
              <w:rPr>
                <w:rFonts w:hint="eastAsia"/>
                <w:color w:val="auto"/>
                <w:szCs w:val="21"/>
              </w:rPr>
              <w:t>维护与保养。</w:t>
            </w:r>
          </w:p>
          <w:p>
            <w:pPr>
              <w:spacing w:line="360" w:lineRule="auto"/>
              <w:rPr>
                <w:rFonts w:hint="eastAsia"/>
                <w:color w:val="auto"/>
                <w:szCs w:val="21"/>
              </w:rPr>
            </w:pPr>
            <w:r>
              <w:rPr>
                <w:rFonts w:hint="eastAsia"/>
                <w:color w:val="auto"/>
                <w:szCs w:val="21"/>
              </w:rPr>
              <w:t>二阶段进一步审核。</w:t>
            </w:r>
          </w:p>
        </w:tc>
        <w:tc>
          <w:tcPr>
            <w:tcW w:w="709" w:type="dxa"/>
          </w:tcPr>
          <w:p>
            <w:pPr>
              <w:pStyle w:val="2"/>
              <w:spacing w:line="360" w:lineRule="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Pr>
          <w:p>
            <w:pPr>
              <w:spacing w:line="360" w:lineRule="auto"/>
              <w:rPr>
                <w:color w:val="auto"/>
                <w:szCs w:val="21"/>
              </w:rPr>
            </w:pPr>
            <w:r>
              <w:rPr>
                <w:rFonts w:hint="eastAsia" w:ascii="宋体" w:hAnsi="宋体"/>
                <w:color w:val="auto"/>
                <w:szCs w:val="21"/>
              </w:rPr>
              <w:t>财务费用支出等</w:t>
            </w:r>
          </w:p>
          <w:p>
            <w:pPr>
              <w:spacing w:line="360" w:lineRule="auto"/>
              <w:rPr>
                <w:rFonts w:hint="eastAsia"/>
                <w:color w:val="auto"/>
                <w:szCs w:val="21"/>
              </w:rPr>
            </w:pPr>
          </w:p>
        </w:tc>
        <w:tc>
          <w:tcPr>
            <w:tcW w:w="960" w:type="dxa"/>
          </w:tcPr>
          <w:p>
            <w:pPr>
              <w:spacing w:line="360" w:lineRule="auto"/>
              <w:rPr>
                <w:color w:val="auto"/>
                <w:szCs w:val="21"/>
              </w:rPr>
            </w:pPr>
          </w:p>
        </w:tc>
        <w:tc>
          <w:tcPr>
            <w:tcW w:w="10880" w:type="dxa"/>
          </w:tcPr>
          <w:p>
            <w:pPr>
              <w:pStyle w:val="2"/>
              <w:spacing w:line="360" w:lineRule="auto"/>
              <w:rPr>
                <w:rFonts w:hint="eastAsia" w:ascii="宋体" w:hAnsi="宋体" w:cs="楷体_GB2312"/>
                <w:color w:val="000000" w:themeColor="text1"/>
                <w:szCs w:val="21"/>
              </w:rPr>
            </w:pPr>
            <w:r>
              <w:rPr>
                <w:rFonts w:hint="eastAsia"/>
                <w:bCs w:val="0"/>
                <w:color w:val="000000" w:themeColor="text1"/>
                <w:spacing w:val="0"/>
                <w:szCs w:val="21"/>
              </w:rPr>
              <w:t>经了解，财务投入包括</w:t>
            </w:r>
            <w:r>
              <w:rPr>
                <w:rFonts w:hint="eastAsia" w:ascii="宋体" w:hAnsi="宋体" w:cs="楷体_GB2312"/>
                <w:color w:val="000000" w:themeColor="text1"/>
                <w:szCs w:val="21"/>
              </w:rPr>
              <w:t>员工职业健康的体检费用、安全环保消防监测费用、员工劳保用品费用、防暑降温费用、员工社保的费用等，</w:t>
            </w:r>
          </w:p>
          <w:p>
            <w:pPr>
              <w:pStyle w:val="2"/>
              <w:spacing w:line="360" w:lineRule="auto"/>
              <w:rPr>
                <w:rFonts w:hint="eastAsia"/>
                <w:color w:val="auto"/>
                <w:szCs w:val="21"/>
              </w:rPr>
            </w:pPr>
            <w:r>
              <w:rPr>
                <w:rFonts w:hint="eastAsia" w:ascii="宋体" w:hAnsi="宋体" w:cs="楷体_GB2312"/>
                <w:color w:val="000000" w:themeColor="text1"/>
                <w:szCs w:val="21"/>
              </w:rPr>
              <w:t>二阶段详查</w:t>
            </w:r>
            <w:r>
              <w:rPr>
                <w:rFonts w:hint="eastAsia" w:ascii="宋体" w:hAnsi="宋体" w:cs="楷体_GB2312"/>
                <w:color w:val="FF0000"/>
                <w:szCs w:val="21"/>
              </w:rPr>
              <w:t>。</w:t>
            </w:r>
          </w:p>
        </w:tc>
        <w:tc>
          <w:tcPr>
            <w:tcW w:w="709" w:type="dxa"/>
          </w:tcPr>
          <w:p>
            <w:pPr>
              <w:pStyle w:val="2"/>
              <w:spacing w:line="360" w:lineRule="auto"/>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60" w:type="dxa"/>
          </w:tcPr>
          <w:p>
            <w:pPr>
              <w:spacing w:line="360" w:lineRule="auto"/>
              <w:rPr>
                <w:color w:val="auto"/>
                <w:szCs w:val="21"/>
              </w:rPr>
            </w:pPr>
          </w:p>
          <w:p>
            <w:pPr>
              <w:spacing w:line="360" w:lineRule="auto"/>
              <w:rPr>
                <w:color w:val="auto"/>
                <w:szCs w:val="21"/>
              </w:rPr>
            </w:pPr>
            <w:r>
              <w:rPr>
                <w:rFonts w:hint="eastAsia"/>
                <w:color w:val="auto"/>
              </w:rPr>
              <w:t>应急预案及演习</w:t>
            </w:r>
          </w:p>
          <w:p>
            <w:pPr>
              <w:spacing w:line="360" w:lineRule="auto"/>
              <w:rPr>
                <w:color w:val="auto"/>
                <w:szCs w:val="21"/>
              </w:rPr>
            </w:pPr>
            <w:r>
              <w:rPr>
                <w:rFonts w:hint="eastAsia"/>
                <w:color w:val="auto"/>
                <w:szCs w:val="21"/>
              </w:rPr>
              <w:t>现场观察</w:t>
            </w:r>
          </w:p>
          <w:p>
            <w:pPr>
              <w:spacing w:line="360" w:lineRule="auto"/>
              <w:rPr>
                <w:color w:val="auto"/>
                <w:szCs w:val="21"/>
              </w:rPr>
            </w:pPr>
          </w:p>
        </w:tc>
        <w:tc>
          <w:tcPr>
            <w:tcW w:w="960" w:type="dxa"/>
          </w:tcPr>
          <w:p>
            <w:pPr>
              <w:spacing w:line="360" w:lineRule="auto"/>
              <w:rPr>
                <w:color w:val="auto"/>
                <w:szCs w:val="21"/>
              </w:rPr>
            </w:pPr>
          </w:p>
        </w:tc>
        <w:tc>
          <w:tcPr>
            <w:tcW w:w="10880" w:type="dxa"/>
          </w:tcPr>
          <w:p>
            <w:pPr>
              <w:spacing w:line="360" w:lineRule="auto"/>
              <w:rPr>
                <w:bCs w:val="0"/>
                <w:color w:val="auto"/>
                <w:spacing w:val="0"/>
                <w:szCs w:val="21"/>
              </w:rPr>
            </w:pPr>
            <w:r>
              <w:rPr>
                <w:rFonts w:hint="eastAsia" w:ascii="宋体" w:hAnsi="宋体" w:cs="楷体_GB2312"/>
                <w:bCs/>
                <w:color w:val="auto"/>
                <w:spacing w:val="10"/>
                <w:szCs w:val="21"/>
              </w:rPr>
              <w:t>公司已经组织进行了火灾消防演习等应急预案及演习。二阶段详查</w:t>
            </w:r>
          </w:p>
          <w:p>
            <w:pPr>
              <w:spacing w:line="360" w:lineRule="auto"/>
              <w:rPr>
                <w:color w:val="auto"/>
                <w:szCs w:val="21"/>
              </w:rPr>
            </w:pPr>
            <w:r>
              <w:rPr>
                <w:rFonts w:hint="eastAsia"/>
                <w:color w:val="auto"/>
                <w:szCs w:val="21"/>
              </w:rPr>
              <w:t>各部门有办公室；工作环境整洁，配备有办公桌椅、电脑、打印机、电话、空调</w:t>
            </w:r>
            <w:r>
              <w:rPr>
                <w:rFonts w:hint="eastAsia"/>
                <w:color w:val="auto"/>
                <w:szCs w:val="21"/>
                <w:lang w:eastAsia="zh-CN"/>
              </w:rPr>
              <w:t>、</w:t>
            </w:r>
            <w:r>
              <w:rPr>
                <w:rFonts w:hint="eastAsia"/>
                <w:color w:val="auto"/>
                <w:szCs w:val="21"/>
              </w:rPr>
              <w:t>灭火器等设施；</w:t>
            </w:r>
          </w:p>
          <w:p>
            <w:pPr>
              <w:spacing w:line="360" w:lineRule="auto"/>
              <w:rPr>
                <w:bCs w:val="0"/>
                <w:color w:val="auto"/>
                <w:spacing w:val="0"/>
                <w:szCs w:val="21"/>
              </w:rPr>
            </w:pPr>
            <w:r>
              <w:rPr>
                <w:rFonts w:hint="eastAsia"/>
                <w:bCs w:val="0"/>
                <w:color w:val="auto"/>
                <w:spacing w:val="0"/>
                <w:szCs w:val="21"/>
              </w:rPr>
              <w:t>运行环境，现场巡查，设备、材料等放置较整齐，基本满足规范要求。</w:t>
            </w:r>
          </w:p>
          <w:p>
            <w:pPr>
              <w:spacing w:line="360" w:lineRule="auto"/>
              <w:rPr>
                <w:color w:val="auto"/>
                <w:szCs w:val="21"/>
              </w:rPr>
            </w:pPr>
            <w:r>
              <w:rPr>
                <w:rFonts w:hint="eastAsia"/>
                <w:color w:val="auto"/>
                <w:szCs w:val="21"/>
              </w:rPr>
              <w:t>二阶段跟踪审核。</w:t>
            </w:r>
          </w:p>
        </w:tc>
        <w:tc>
          <w:tcPr>
            <w:tcW w:w="709" w:type="dxa"/>
          </w:tcPr>
          <w:p>
            <w:pPr>
              <w:spacing w:line="360" w:lineRule="auto"/>
              <w:rPr>
                <w:color w:val="auto"/>
              </w:rPr>
            </w:pPr>
            <w:r>
              <w:rPr>
                <w:rFonts w:hint="eastAsia"/>
                <w:color w:val="auto"/>
                <w:szCs w:val="21"/>
                <w:lang w:val="en-US" w:eastAsia="zh-CN"/>
              </w:rPr>
              <w:t>OK</w:t>
            </w:r>
          </w:p>
          <w:p>
            <w:pPr>
              <w:pStyle w:val="2"/>
              <w:spacing w:line="360" w:lineRule="auto"/>
              <w:rPr>
                <w:color w:val="auto"/>
              </w:rPr>
            </w:pPr>
          </w:p>
          <w:p>
            <w:pPr>
              <w:spacing w:line="360" w:lineRule="auto"/>
              <w:rPr>
                <w:color w:val="auto"/>
              </w:rPr>
            </w:pPr>
          </w:p>
          <w:p>
            <w:pPr>
              <w:spacing w:line="360" w:lineRule="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spacing w:line="360" w:lineRule="auto"/>
              <w:rPr>
                <w:rFonts w:hint="eastAsia" w:eastAsia="宋体"/>
                <w:color w:val="auto"/>
                <w:szCs w:val="21"/>
                <w:lang w:val="en-US" w:eastAsia="zh-CN"/>
              </w:rPr>
            </w:pPr>
            <w:r>
              <w:rPr>
                <w:rFonts w:hint="eastAsia" w:ascii="宋体" w:hAnsi="宋体"/>
                <w:szCs w:val="21"/>
              </w:rPr>
              <w:t>二阶段审核</w:t>
            </w:r>
            <w:r>
              <w:rPr>
                <w:rFonts w:hint="eastAsia" w:ascii="宋体" w:hAnsi="宋体"/>
                <w:szCs w:val="21"/>
                <w:lang w:val="en-US" w:eastAsia="zh-CN"/>
              </w:rPr>
              <w:t>条件</w:t>
            </w:r>
          </w:p>
        </w:tc>
        <w:tc>
          <w:tcPr>
            <w:tcW w:w="960" w:type="dxa"/>
          </w:tcPr>
          <w:p>
            <w:pPr>
              <w:spacing w:line="360" w:lineRule="auto"/>
              <w:rPr>
                <w:color w:val="auto"/>
                <w:szCs w:val="21"/>
              </w:rPr>
            </w:pPr>
          </w:p>
        </w:tc>
        <w:tc>
          <w:tcPr>
            <w:tcW w:w="10880" w:type="dxa"/>
          </w:tcPr>
          <w:p>
            <w:pPr>
              <w:spacing w:line="360" w:lineRule="auto"/>
              <w:rPr>
                <w:rFonts w:hint="eastAsia"/>
                <w:color w:val="auto"/>
                <w:szCs w:val="21"/>
              </w:rPr>
            </w:pPr>
            <w:r>
              <w:rPr>
                <w:rFonts w:hint="eastAsia" w:ascii="宋体" w:hAnsi="宋体" w:eastAsia="宋体" w:cs="Times New Roman"/>
                <w:szCs w:val="21"/>
              </w:rPr>
              <w:t>具备二阶段审核的条件</w:t>
            </w:r>
          </w:p>
        </w:tc>
        <w:tc>
          <w:tcPr>
            <w:tcW w:w="709" w:type="dxa"/>
          </w:tcPr>
          <w:p>
            <w:pPr>
              <w:spacing w:line="360" w:lineRule="auto"/>
              <w:rPr>
                <w:color w:val="auto"/>
                <w:szCs w:val="21"/>
              </w:rPr>
            </w:p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B52080"/>
    <w:rsid w:val="05B73535"/>
    <w:rsid w:val="0711514D"/>
    <w:rsid w:val="0BC82454"/>
    <w:rsid w:val="0D1B29D0"/>
    <w:rsid w:val="12356F91"/>
    <w:rsid w:val="17D810B9"/>
    <w:rsid w:val="192A07F9"/>
    <w:rsid w:val="19A412E0"/>
    <w:rsid w:val="1D3B1CF8"/>
    <w:rsid w:val="24B2622E"/>
    <w:rsid w:val="28AE0C17"/>
    <w:rsid w:val="2E890DD1"/>
    <w:rsid w:val="2F8A51E5"/>
    <w:rsid w:val="32594A1B"/>
    <w:rsid w:val="32926540"/>
    <w:rsid w:val="32D055A0"/>
    <w:rsid w:val="337540F1"/>
    <w:rsid w:val="358677C3"/>
    <w:rsid w:val="3C8D3C5E"/>
    <w:rsid w:val="40CF3355"/>
    <w:rsid w:val="4946248D"/>
    <w:rsid w:val="4B4F4629"/>
    <w:rsid w:val="4C0E5FBA"/>
    <w:rsid w:val="4D18350A"/>
    <w:rsid w:val="52701186"/>
    <w:rsid w:val="54645356"/>
    <w:rsid w:val="56A31666"/>
    <w:rsid w:val="59536B88"/>
    <w:rsid w:val="60487275"/>
    <w:rsid w:val="6504508C"/>
    <w:rsid w:val="66D812A4"/>
    <w:rsid w:val="695104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2021-04-16T13:01:52Z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D170CD10E48D4C4FAE910F51BD31FCAF</vt:lpwstr>
  </property>
</Properties>
</file>