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0303-2021-QEO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重庆亿森动力环境科技有限公司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Q:19.05.01</w:t>
            </w:r>
          </w:p>
          <w:p>
            <w:pPr>
              <w:spacing w:line="240" w:lineRule="exact"/>
              <w:jc w:val="center"/>
              <w:rPr>
                <w:b/>
                <w:color w:val="000000" w:themeColor="text1"/>
                <w:sz w:val="20"/>
                <w:szCs w:val="20"/>
              </w:rPr>
            </w:pPr>
            <w:r>
              <w:rPr>
                <w:b/>
                <w:color w:val="000000" w:themeColor="text1"/>
                <w:sz w:val="20"/>
                <w:szCs w:val="20"/>
              </w:rPr>
              <w:t>E:19.05.01</w:t>
            </w:r>
          </w:p>
          <w:p>
            <w:pPr>
              <w:spacing w:line="240" w:lineRule="exact"/>
              <w:jc w:val="center"/>
              <w:rPr>
                <w:b/>
                <w:color w:val="000000" w:themeColor="text1"/>
                <w:sz w:val="20"/>
                <w:szCs w:val="20"/>
              </w:rPr>
            </w:pPr>
            <w:r>
              <w:rPr>
                <w:b/>
                <w:color w:val="000000" w:themeColor="text1"/>
                <w:sz w:val="20"/>
                <w:szCs w:val="20"/>
              </w:rPr>
              <w:t>O:19.05.01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Q:19.05.01</w:t>
            </w:r>
          </w:p>
          <w:p>
            <w:pPr>
              <w:spacing w:line="240" w:lineRule="exact"/>
              <w:jc w:val="center"/>
              <w:rPr>
                <w:b/>
                <w:color w:val="000000" w:themeColor="text1"/>
                <w:sz w:val="20"/>
                <w:szCs w:val="20"/>
              </w:rPr>
            </w:pPr>
            <w:r>
              <w:rPr>
                <w:b/>
                <w:color w:val="000000" w:themeColor="text1"/>
                <w:sz w:val="20"/>
                <w:szCs w:val="20"/>
              </w:rPr>
              <w:t>E:19.05.01</w:t>
            </w:r>
          </w:p>
          <w:p>
            <w:pPr>
              <w:spacing w:line="240" w:lineRule="exact"/>
              <w:jc w:val="center"/>
              <w:rPr>
                <w:b/>
                <w:color w:val="000000" w:themeColor="text1"/>
                <w:sz w:val="20"/>
                <w:szCs w:val="20"/>
              </w:rPr>
            </w:pPr>
            <w:r>
              <w:rPr>
                <w:b/>
                <w:color w:val="000000" w:themeColor="text1"/>
                <w:sz w:val="20"/>
                <w:szCs w:val="20"/>
              </w:rPr>
              <w:t>O:19.05.01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重庆亿森动力环境科技有限公司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重庆市南川区西城街道办事处白果路16号2幢第2层</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408402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重庆市南川区西城街道办事处白果路16号2幢第2层</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408402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任水明</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023-71453888</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周立明</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周立明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李刚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Q：空气质量检测仪的组装</w:t>
            </w:r>
          </w:p>
          <w:p>
            <w:pPr>
              <w:spacing w:line="320" w:lineRule="exact"/>
              <w:rPr>
                <w:rFonts w:ascii="宋体" w:hAnsi="宋体"/>
                <w:b/>
                <w:color w:val="000000" w:themeColor="text1"/>
                <w:sz w:val="20"/>
                <w:szCs w:val="20"/>
              </w:rPr>
            </w:pPr>
            <w:r>
              <w:rPr>
                <w:rFonts w:ascii="宋体" w:hAnsi="宋体"/>
                <w:b/>
                <w:color w:val="000000" w:themeColor="text1"/>
                <w:sz w:val="20"/>
                <w:szCs w:val="20"/>
              </w:rPr>
              <w:t>E：空气质量检测仪的组装所涉及场所的相关环境管理活动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O：空气质量检测仪的组装所涉及场所的相关职业健康安全管理活动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Q：19.05.01</w:t>
            </w:r>
          </w:p>
          <w:p>
            <w:pPr>
              <w:spacing w:line="320" w:lineRule="exact"/>
              <w:rPr>
                <w:rFonts w:ascii="宋体" w:hAnsi="宋体"/>
                <w:b/>
                <w:color w:val="000000" w:themeColor="text1"/>
                <w:sz w:val="20"/>
                <w:szCs w:val="20"/>
              </w:rPr>
            </w:pPr>
            <w:r>
              <w:rPr>
                <w:rFonts w:ascii="宋体" w:hAnsi="宋体"/>
                <w:b/>
                <w:color w:val="000000" w:themeColor="text1"/>
                <w:sz w:val="20"/>
                <w:szCs w:val="20"/>
              </w:rPr>
              <w:t>E：19.05.01</w:t>
            </w:r>
          </w:p>
          <w:p>
            <w:pPr>
              <w:spacing w:line="320" w:lineRule="exact"/>
              <w:rPr>
                <w:rFonts w:ascii="宋体" w:hAnsi="宋体"/>
                <w:b/>
                <w:color w:val="000000" w:themeColor="text1"/>
                <w:sz w:val="20"/>
                <w:szCs w:val="20"/>
              </w:rPr>
            </w:pPr>
            <w:r>
              <w:rPr>
                <w:rFonts w:ascii="宋体" w:hAnsi="宋体"/>
                <w:b/>
                <w:color w:val="000000" w:themeColor="text1"/>
                <w:sz w:val="20"/>
                <w:szCs w:val="20"/>
              </w:rPr>
              <w:t>O：19.05.01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行政人资部（含财务部）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w:t>
            </w:r>
            <w:r>
              <w:rPr>
                <w:rFonts w:hint="eastAsia" w:ascii="宋体" w:hAnsi="宋体"/>
                <w:b/>
                <w:color w:val="000000" w:themeColor="text1"/>
                <w:sz w:val="20"/>
                <w:szCs w:val="20"/>
                <w:lang w:val="en-US" w:eastAsia="zh-CN"/>
              </w:rPr>
              <w:t>客户管理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物资采购部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sz w:val="20"/>
              </w:rPr>
              <w:t>空气质量检测仪的组装</w:t>
            </w:r>
          </w:p>
        </w:tc>
        <w:tc>
          <w:tcPr>
            <w:tcW w:w="2519" w:type="dxa"/>
            <w:vAlign w:val="top"/>
          </w:tcPr>
          <w:p>
            <w:pPr>
              <w:rPr>
                <w:rFonts w:hint="eastAsia" w:ascii="Times New Roman" w:hAnsi="Times New Roman" w:eastAsia="宋体" w:cs="Times New Roman"/>
                <w:b/>
                <w:color w:val="000000" w:themeColor="text1"/>
                <w:kern w:val="2"/>
                <w:sz w:val="20"/>
                <w:szCs w:val="20"/>
                <w:lang w:val="en-US" w:eastAsia="zh-CN" w:bidi="ar-SA"/>
              </w:rPr>
            </w:pPr>
            <w:r>
              <w:rPr>
                <w:rFonts w:hint="eastAsia" w:eastAsia="宋体"/>
                <w:b/>
                <w:sz w:val="20"/>
                <w:szCs w:val="20"/>
                <w:lang w:val="en-US" w:eastAsia="zh-CN"/>
              </w:rPr>
              <w:t>产品</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宋体" w:hAnsi="宋体" w:eastAsia="宋体" w:cs="Times New Roman"/>
                <w:b w:val="0"/>
                <w:bCs w:val="0"/>
                <w:color w:val="auto"/>
                <w:kern w:val="2"/>
                <w:sz w:val="21"/>
                <w:szCs w:val="21"/>
                <w:lang w:val="en-US" w:eastAsia="zh-CN" w:bidi="ar-SA"/>
              </w:rPr>
              <w:t>《环境空气颗粒物(PM10和PM2.5)连续自动监测系统技术要求及检测方法》HJ-653-2013、《环境空气气态污染物(SO2、NO2、O3、CO)连续自动监测系统技术要求及检测方法》HJ-654-2013</w:t>
            </w:r>
            <w:r>
              <w:rPr>
                <w:rFonts w:hint="eastAsia"/>
                <w:szCs w:val="21"/>
              </w:rPr>
              <w:t>和合同协议等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ind w:firstLine="420" w:firstLineChars="200"/>
              <w:rPr>
                <w:rFonts w:ascii="宋体" w:hAnsi="宋体" w:eastAsia="宋体" w:cs="Times New Roman"/>
                <w:b/>
                <w:kern w:val="2"/>
                <w:sz w:val="21"/>
                <w:szCs w:val="21"/>
                <w:lang w:val="en-US" w:eastAsia="zh-CN" w:bidi="ar-SA"/>
              </w:rPr>
            </w:pPr>
            <w:r>
              <w:rPr>
                <w:rFonts w:hint="eastAsia" w:ascii="宋体" w:hAnsi="宋体" w:cs="楷体"/>
                <w:bCs/>
              </w:rPr>
              <w:t>重庆亿森动力环境科技有限公司（简称“亿森动力”）注册成立于重庆市南川区</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是</w:t>
            </w:r>
            <w:r>
              <w:rPr>
                <w:rFonts w:hint="eastAsia" w:ascii="宋体" w:hAnsi="宋体" w:cs="楷体"/>
                <w:bCs/>
              </w:rPr>
              <w:t>一家高新技术企业</w:t>
            </w:r>
            <w:r>
              <w:rPr>
                <w:rFonts w:hint="eastAsia" w:ascii="宋体" w:hAnsi="宋体" w:cs="楷体"/>
                <w:bCs/>
                <w:lang w:eastAsia="zh-CN"/>
              </w:rPr>
              <w:t>，</w:t>
            </w:r>
            <w:r>
              <w:rPr>
                <w:rFonts w:hint="eastAsia" w:ascii="宋体" w:hAnsi="宋体" w:cs="楷体"/>
                <w:bCs/>
              </w:rPr>
              <w:t>专注于研制国际领先的环境监测系列产品和提供全方位的环境治理建设方案</w:t>
            </w:r>
            <w:r>
              <w:rPr>
                <w:rFonts w:hint="eastAsia" w:asciiTheme="minorEastAsia" w:hAnsiTheme="minorEastAsia" w:eastAsiaTheme="minorEastAsia" w:cstheme="minorEastAsia"/>
                <w:szCs w:val="21"/>
              </w:rPr>
              <w:t>。现有员工</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人，目前经营情况良好</w:t>
            </w:r>
            <w:r>
              <w:rPr>
                <w:rFonts w:hint="eastAsia"/>
                <w:szCs w:val="21"/>
              </w:rPr>
              <w:t>。</w:t>
            </w:r>
            <w:r>
              <w:rPr>
                <w:rFonts w:hint="eastAsia" w:ascii="宋体" w:hAnsi="宋体"/>
                <w:szCs w:val="21"/>
              </w:rPr>
              <w:t>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rPr>
                <w:rFonts w:ascii="宋体" w:hAnsi="宋体" w:eastAsia="宋体" w:cs="Times New Roman"/>
                <w:b/>
                <w:kern w:val="2"/>
                <w:sz w:val="21"/>
                <w:szCs w:val="21"/>
                <w:lang w:val="en-US" w:eastAsia="zh-CN" w:bidi="ar-SA"/>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质量第一，信誉第一，用户至上；节能降耗，防治污染，保护环境；安全第一，保障健康，减少风险；全员参与，遵守法规，持续改进</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eastAsia="宋体" w:cs="Times New Roman"/>
                <w:b/>
                <w:kern w:val="2"/>
                <w:sz w:val="21"/>
                <w:szCs w:val="21"/>
                <w:lang w:val="en-US" w:eastAsia="zh-CN" w:bidi="ar-SA"/>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lang w:val="en-US" w:eastAsia="zh-CN"/>
              </w:rPr>
              <w:t>产品实现</w:t>
            </w:r>
            <w:r>
              <w:rPr>
                <w:rFonts w:hint="eastAsia" w:ascii="宋体" w:hAnsi="宋体"/>
                <w:color w:val="000000" w:themeColor="text1"/>
              </w:rPr>
              <w:t>过程包括策划、</w:t>
            </w:r>
            <w:r>
              <w:rPr>
                <w:rFonts w:hint="eastAsia" w:ascii="宋体" w:hAnsi="宋体"/>
                <w:color w:val="000000" w:themeColor="text1"/>
                <w:lang w:val="en-US" w:eastAsia="zh-CN"/>
              </w:rPr>
              <w:t>采购</w:t>
            </w:r>
            <w:r>
              <w:rPr>
                <w:rFonts w:hint="eastAsia" w:ascii="宋体" w:hAnsi="宋体"/>
                <w:color w:val="000000" w:themeColor="text1"/>
              </w:rPr>
              <w:t>、</w:t>
            </w:r>
            <w:r>
              <w:rPr>
                <w:rFonts w:hint="eastAsia" w:ascii="宋体" w:hAnsi="宋体"/>
                <w:color w:val="000000" w:themeColor="text1"/>
                <w:lang w:val="en-US" w:eastAsia="zh-CN"/>
              </w:rPr>
              <w:t>组装</w:t>
            </w:r>
            <w:r>
              <w:rPr>
                <w:rFonts w:hint="eastAsia" w:ascii="宋体" w:hAnsi="宋体"/>
                <w:color w:val="000000" w:themeColor="text1"/>
              </w:rPr>
              <w:t>、</w:t>
            </w:r>
            <w:r>
              <w:rPr>
                <w:rFonts w:hint="eastAsia" w:ascii="宋体" w:hAnsi="宋体"/>
                <w:color w:val="000000" w:themeColor="text1"/>
                <w:lang w:val="en-US" w:eastAsia="zh-CN"/>
              </w:rPr>
              <w:t>交付</w:t>
            </w:r>
            <w:r>
              <w:rPr>
                <w:rFonts w:hint="eastAsia" w:ascii="宋体" w:hAnsi="宋体"/>
                <w:color w:val="000000" w:themeColor="text1"/>
              </w:rPr>
              <w:t>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auto"/>
                <w:sz w:val="21"/>
                <w:szCs w:val="21"/>
              </w:rPr>
              <w:t>合同评审、</w:t>
            </w:r>
            <w:r>
              <w:rPr>
                <w:rFonts w:hint="eastAsia" w:ascii="宋体" w:hAnsi="宋体"/>
                <w:b/>
                <w:color w:val="auto"/>
                <w:sz w:val="21"/>
                <w:szCs w:val="21"/>
                <w:lang w:val="en-US" w:eastAsia="zh-CN"/>
              </w:rPr>
              <w:t>物料采购、产品生产、交付等</w:t>
            </w:r>
            <w:r>
              <w:rPr>
                <w:rFonts w:hint="eastAsia" w:ascii="宋体" w:hAnsi="宋体"/>
                <w:b/>
                <w:color w:val="auto"/>
                <w:sz w:val="21"/>
                <w:szCs w:val="21"/>
              </w:rPr>
              <w:t>过程</w:t>
            </w:r>
            <w:r>
              <w:rPr>
                <w:rFonts w:hint="eastAsia" w:ascii="宋体" w:hAnsi="宋体"/>
                <w:b/>
                <w:color w:val="000000" w:themeColor="text1"/>
                <w:sz w:val="20"/>
                <w:szCs w:val="20"/>
              </w:rPr>
              <w:t>。</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eastAsia="宋体" w:cs="Times New Roman"/>
                <w:b/>
                <w:color w:val="auto"/>
                <w:sz w:val="21"/>
                <w:szCs w:val="21"/>
                <w:lang w:val="en-US" w:eastAsia="zh-CN"/>
              </w:rPr>
              <w:t>装配、调试/测试成型。</w:t>
            </w:r>
          </w:p>
          <w:p>
            <w:pPr>
              <w:tabs>
                <w:tab w:val="left" w:pos="540"/>
              </w:tabs>
              <w:spacing w:line="300" w:lineRule="exact"/>
              <w:ind w:left="211" w:hanging="211" w:hangingChars="100"/>
              <w:rPr>
                <w:rFonts w:hint="eastAsia" w:ascii="宋体" w:hAnsi="宋体" w:eastAsia="宋体"/>
                <w:b/>
                <w:szCs w:val="21"/>
                <w:lang w:val="en-US" w:eastAsia="zh-CN"/>
              </w:rPr>
            </w:pPr>
            <w:r>
              <w:rPr>
                <w:rFonts w:hint="eastAsia" w:ascii="宋体" w:hAnsi="宋体"/>
                <w:b/>
                <w:szCs w:val="21"/>
              </w:rPr>
              <w:t>需要确认过程：</w:t>
            </w:r>
            <w:r>
              <w:rPr>
                <w:rFonts w:hint="eastAsia" w:ascii="宋体" w:hAnsi="宋体"/>
                <w:b/>
                <w:szCs w:val="21"/>
                <w:lang w:val="en-US" w:eastAsia="zh-CN"/>
              </w:rPr>
              <w:t>焊接</w:t>
            </w:r>
          </w:p>
          <w:p>
            <w:pPr>
              <w:tabs>
                <w:tab w:val="left" w:pos="540"/>
              </w:tabs>
              <w:spacing w:line="300" w:lineRule="exact"/>
              <w:ind w:left="211" w:leftChars="0" w:hanging="211" w:hangingChars="100"/>
              <w:rPr>
                <w:rFonts w:hint="default" w:ascii="宋体" w:hAnsi="宋体" w:eastAsia="宋体" w:cs="Times New Roman"/>
                <w:b/>
                <w:kern w:val="2"/>
                <w:sz w:val="21"/>
                <w:szCs w:val="21"/>
                <w:lang w:val="en-US" w:eastAsia="zh-CN" w:bidi="ar-SA"/>
              </w:rPr>
            </w:pPr>
            <w:r>
              <w:rPr>
                <w:rFonts w:ascii="宋体" w:hAnsi="宋体"/>
                <w:b/>
                <w:szCs w:val="21"/>
              </w:rPr>
              <w:pict>
                <v:shape id="_x0000_s2050" o:spid="_x0000_s2050"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ascii="宋体" w:hAnsi="宋体" w:cs="黑体"/>
                <w:kern w:val="0"/>
                <w:szCs w:val="21"/>
                <w:u w:val="single"/>
              </w:rPr>
              <w:t>根据公司生产服务特点，标准中</w:t>
            </w:r>
            <w:r>
              <w:rPr>
                <w:rFonts w:ascii="宋体" w:hAnsi="宋体" w:cs="黑体"/>
                <w:kern w:val="0"/>
                <w:szCs w:val="21"/>
                <w:u w:val="single"/>
              </w:rPr>
              <w:t>8.3</w:t>
            </w:r>
            <w:r>
              <w:rPr>
                <w:rFonts w:hint="eastAsia" w:ascii="宋体" w:hAnsi="宋体" w:cs="黑体"/>
                <w:kern w:val="0"/>
                <w:szCs w:val="21"/>
                <w:u w:val="single"/>
              </w:rPr>
              <w:t>条款不适用。公司的产品按客户要求及相关标准进行装配，装配工艺固定成熟，整个过程不涉及设计新产品的内容。</w:t>
            </w:r>
            <w:r>
              <w:rPr>
                <w:rFonts w:ascii="宋体" w:hAnsi="宋体" w:cs="黑体"/>
                <w:kern w:val="0"/>
                <w:szCs w:val="21"/>
                <w:u w:val="single"/>
              </w:rPr>
              <w:t>8.3</w:t>
            </w:r>
            <w:r>
              <w:rPr>
                <w:rFonts w:hint="eastAsia" w:ascii="宋体" w:hAnsi="宋体" w:cs="黑体"/>
                <w:kern w:val="0"/>
                <w:szCs w:val="21"/>
                <w:u w:val="single"/>
              </w:rPr>
              <w:t>条款的不适用不影响组织提供满足顾客要求及法律法规要求得产品</w:t>
            </w:r>
            <w:r>
              <w:rPr>
                <w:rFonts w:hint="eastAsia" w:ascii="宋体" w:hAnsi="宋体"/>
                <w:sz w:val="21"/>
                <w:szCs w:val="21"/>
                <w:u w:val="single"/>
              </w:rPr>
              <w:t>，基本合理</w:t>
            </w:r>
            <w:r>
              <w:rPr>
                <w:rFonts w:hint="eastAsia" w:ascii="宋体" w:hAnsi="宋体"/>
                <w:b/>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w:t>
            </w:r>
            <w:r>
              <w:rPr>
                <w:rFonts w:ascii="宋体" w:hAnsi="宋体"/>
                <w:b/>
                <w:szCs w:val="21"/>
              </w:rPr>
              <w:t>EMS</w:t>
            </w:r>
            <w:r>
              <w:rPr>
                <w:rFonts w:hint="eastAsia" w:ascii="宋体" w:hAnsi="宋体"/>
                <w:b/>
                <w:szCs w:val="21"/>
              </w:rPr>
              <w:t>环境因素</w:t>
            </w:r>
          </w:p>
          <w:p>
            <w:pPr>
              <w:spacing w:line="300" w:lineRule="exact"/>
              <w:rPr>
                <w:rFonts w:ascii="宋体" w:hAnsi="宋体"/>
                <w:b/>
                <w:szCs w:val="21"/>
              </w:rPr>
            </w:pPr>
            <w:r>
              <w:rPr>
                <w:rFonts w:hint="eastAsia" w:ascii="宋体" w:hAnsi="宋体"/>
                <w:b/>
                <w:szCs w:val="21"/>
              </w:rPr>
              <w:t>（环境因素辨识是否充分、重要环境因素评价合理性，以及环境因素动态变更的及时性等）</w:t>
            </w:r>
          </w:p>
          <w:p>
            <w:pPr>
              <w:spacing w:line="360" w:lineRule="auto"/>
              <w:rPr>
                <w:rFonts w:ascii="宋体" w:hAnsi="宋体" w:cs="Times New Roman" w:eastAsiaTheme="minorEastAsia"/>
                <w:b/>
                <w:kern w:val="2"/>
                <w:sz w:val="21"/>
                <w:szCs w:val="21"/>
                <w:lang w:val="en-US" w:eastAsia="zh-CN" w:bidi="ar-SA"/>
              </w:rPr>
            </w:pPr>
            <w:r>
              <w:rPr>
                <w:rFonts w:hint="eastAsia" w:ascii="宋体" w:hAnsi="宋体" w:cs="宋体"/>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潜在火灾</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固体排放</w:t>
            </w:r>
            <w:r>
              <w:rPr>
                <w:rFonts w:hint="eastAsia" w:ascii="宋体" w:hAnsi="宋体" w:cs="宋体"/>
                <w:bCs/>
                <w:iCs/>
                <w:szCs w:val="21"/>
              </w:rPr>
              <w:t>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7. </w:t>
            </w:r>
            <w:r>
              <w:rPr>
                <w:rFonts w:hint="eastAsia" w:ascii="宋体" w:hAnsi="宋体"/>
                <w:b/>
                <w:szCs w:val="21"/>
              </w:rPr>
              <w:t>■</w:t>
            </w:r>
            <w:r>
              <w:rPr>
                <w:rFonts w:ascii="宋体" w:hAnsi="宋体"/>
                <w:b/>
                <w:szCs w:val="21"/>
              </w:rPr>
              <w:t>OHSMS</w:t>
            </w:r>
            <w:r>
              <w:rPr>
                <w:rFonts w:hint="eastAsia" w:ascii="宋体" w:hAnsi="宋体"/>
                <w:b/>
                <w:szCs w:val="21"/>
              </w:rPr>
              <w:t>职业健康安全危险源</w:t>
            </w:r>
          </w:p>
          <w:p>
            <w:pPr>
              <w:spacing w:line="240" w:lineRule="exact"/>
              <w:rPr>
                <w:rFonts w:ascii="宋体" w:hAnsi="宋体"/>
                <w:b/>
                <w:szCs w:val="21"/>
              </w:rPr>
            </w:pPr>
            <w:r>
              <w:rPr>
                <w:rFonts w:hint="eastAsia" w:ascii="宋体" w:hAnsi="宋体"/>
                <w:b/>
                <w:szCs w:val="21"/>
              </w:rPr>
              <w:t>（职业健康安全危险源辨识是否充分、风险评价合理性，以及风险评价动态变更的及时性等）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themeColor="text1"/>
                <w:szCs w:val="21"/>
              </w:rPr>
              <w:t>组织建立了危险源识别、评价控制程序，识别评价了危险源、风险相关的过程，评价出了重要危险源，与之相关的过程有</w:t>
            </w:r>
            <w:r>
              <w:rPr>
                <w:rFonts w:hint="eastAsia" w:ascii="宋体" w:hAnsi="宋体"/>
                <w:color w:val="000000" w:themeColor="text1"/>
              </w:rPr>
              <w:t>策划、</w:t>
            </w:r>
            <w:r>
              <w:rPr>
                <w:rFonts w:hint="eastAsia" w:ascii="宋体" w:hAnsi="宋体"/>
                <w:color w:val="000000" w:themeColor="text1"/>
                <w:lang w:val="en-US" w:eastAsia="zh-CN"/>
              </w:rPr>
              <w:t>采购</w:t>
            </w:r>
            <w:r>
              <w:rPr>
                <w:rFonts w:hint="eastAsia" w:ascii="宋体" w:hAnsi="宋体"/>
                <w:color w:val="000000" w:themeColor="text1"/>
              </w:rPr>
              <w:t>、</w:t>
            </w:r>
            <w:r>
              <w:rPr>
                <w:rFonts w:hint="eastAsia" w:ascii="宋体" w:hAnsi="宋体"/>
                <w:color w:val="000000" w:themeColor="text1"/>
                <w:lang w:val="en-US" w:eastAsia="zh-CN"/>
              </w:rPr>
              <w:t>产品组装</w:t>
            </w:r>
            <w:r>
              <w:rPr>
                <w:rFonts w:hint="eastAsia" w:ascii="宋体" w:hAnsi="宋体"/>
                <w:color w:val="000000" w:themeColor="text1"/>
              </w:rPr>
              <w:t>、</w:t>
            </w:r>
            <w:r>
              <w:rPr>
                <w:rFonts w:hint="eastAsia" w:ascii="宋体" w:hAnsi="宋体"/>
                <w:color w:val="000000" w:themeColor="text1"/>
                <w:lang w:val="en-US" w:eastAsia="zh-CN"/>
              </w:rPr>
              <w:t>检验、交付</w:t>
            </w:r>
            <w:r>
              <w:rPr>
                <w:rFonts w:hint="eastAsia" w:ascii="宋体" w:hAnsi="宋体" w:cs="宋体"/>
                <w:color w:val="000000" w:themeColor="text1"/>
                <w:szCs w:val="21"/>
              </w:rPr>
              <w:t>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p>
          <w:p>
            <w:pPr>
              <w:spacing w:line="360" w:lineRule="auto"/>
              <w:ind w:firstLine="420" w:firstLineChars="200"/>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 xml:space="preserve">质量、环境、职业健康安全目标 </w:t>
            </w:r>
            <w:r>
              <w:rPr>
                <w:rFonts w:hint="eastAsia" w:asciiTheme="minorEastAsia" w:hAnsiTheme="minorEastAsia" w:eastAsiaTheme="minorEastAsia" w:cstheme="minorEastAsia"/>
                <w:szCs w:val="21"/>
                <w:lang w:eastAsia="zh-CN"/>
              </w:rPr>
              <w:t>：</w:t>
            </w:r>
          </w:p>
          <w:p>
            <w:pPr>
              <w:pStyle w:val="11"/>
              <w:spacing w:line="240" w:lineRule="auto"/>
              <w:ind w:left="0" w:leftChars="0" w:firstLine="210" w:firstLineChars="100"/>
              <w:jc w:val="left"/>
              <w:rPr>
                <w:rFonts w:hint="eastAsia" w:ascii="宋体" w:hAnsi="宋体"/>
                <w:b w:val="0"/>
                <w:bCs w:val="0"/>
                <w:sz w:val="21"/>
                <w:szCs w:val="21"/>
              </w:rPr>
            </w:pPr>
            <w:r>
              <w:rPr>
                <w:rFonts w:hint="eastAsia" w:ascii="宋体" w:hAnsi="宋体" w:cs="宋体"/>
                <w:b w:val="0"/>
                <w:bCs w:val="0"/>
                <w:kern w:val="0"/>
                <w:sz w:val="21"/>
                <w:szCs w:val="21"/>
              </w:rPr>
              <w:t xml:space="preserve">质量目标：    </w:t>
            </w:r>
            <w:r>
              <w:rPr>
                <w:rFonts w:hint="eastAsia" w:ascii="黑体" w:hAnsi="宋体" w:eastAsia="黑体" w:cs="宋体"/>
                <w:b w:val="0"/>
                <w:bCs w:val="0"/>
                <w:kern w:val="0"/>
                <w:sz w:val="21"/>
                <w:szCs w:val="21"/>
              </w:rPr>
              <w:t xml:space="preserve"> </w:t>
            </w:r>
            <w:r>
              <w:rPr>
                <w:rFonts w:hint="eastAsia" w:ascii="宋体" w:hAnsi="宋体"/>
                <w:b w:val="0"/>
                <w:bCs w:val="0"/>
                <w:sz w:val="21"/>
                <w:szCs w:val="21"/>
              </w:rPr>
              <w:t xml:space="preserve"> </w:t>
            </w:r>
          </w:p>
          <w:p>
            <w:pPr>
              <w:pStyle w:val="11"/>
              <w:spacing w:line="240" w:lineRule="auto"/>
              <w:jc w:val="left"/>
              <w:rPr>
                <w:rFonts w:ascii="宋体" w:hAnsi="宋体" w:cs="楷体"/>
                <w:b w:val="0"/>
                <w:bCs w:val="0"/>
                <w:sz w:val="21"/>
                <w:szCs w:val="21"/>
              </w:rPr>
            </w:pPr>
            <w:r>
              <w:rPr>
                <w:rFonts w:hint="eastAsia" w:ascii="宋体" w:hAnsi="宋体" w:cs="楷体"/>
                <w:b w:val="0"/>
                <w:bCs w:val="0"/>
                <w:sz w:val="21"/>
                <w:szCs w:val="21"/>
              </w:rPr>
              <w:t>1、 产品一次检验合格率≥95%</w:t>
            </w:r>
            <w:r>
              <w:rPr>
                <w:rFonts w:ascii="宋体" w:hAnsi="宋体" w:cs="楷体"/>
                <w:b w:val="0"/>
                <w:bCs w:val="0"/>
                <w:sz w:val="21"/>
                <w:szCs w:val="21"/>
              </w:rPr>
              <w:t xml:space="preserve"> </w:t>
            </w:r>
            <w:r>
              <w:rPr>
                <w:rFonts w:hint="eastAsia" w:ascii="宋体" w:hAnsi="宋体" w:cs="楷体"/>
                <w:b w:val="0"/>
                <w:bCs w:val="0"/>
                <w:sz w:val="21"/>
                <w:szCs w:val="21"/>
              </w:rPr>
              <w:t>；</w:t>
            </w:r>
          </w:p>
          <w:p>
            <w:pPr>
              <w:pStyle w:val="11"/>
              <w:spacing w:line="240" w:lineRule="auto"/>
              <w:jc w:val="left"/>
              <w:rPr>
                <w:rFonts w:ascii="宋体" w:hAnsi="宋体" w:cs="楷体"/>
                <w:b w:val="0"/>
                <w:bCs w:val="0"/>
                <w:sz w:val="21"/>
                <w:szCs w:val="21"/>
              </w:rPr>
            </w:pPr>
            <w:r>
              <w:rPr>
                <w:rFonts w:hint="eastAsia" w:ascii="宋体" w:hAnsi="宋体" w:cs="楷体"/>
                <w:b w:val="0"/>
                <w:bCs w:val="0"/>
                <w:sz w:val="21"/>
                <w:szCs w:val="21"/>
              </w:rPr>
              <w:t>2、 产品按期交付率≥98%；</w:t>
            </w:r>
            <w:r>
              <w:rPr>
                <w:rFonts w:ascii="宋体" w:hAnsi="宋体" w:cs="楷体"/>
                <w:b w:val="0"/>
                <w:bCs w:val="0"/>
                <w:sz w:val="21"/>
                <w:szCs w:val="21"/>
              </w:rPr>
              <w:t xml:space="preserve"> </w:t>
            </w:r>
          </w:p>
          <w:p>
            <w:pPr>
              <w:pStyle w:val="11"/>
              <w:spacing w:line="240" w:lineRule="auto"/>
              <w:jc w:val="left"/>
              <w:rPr>
                <w:rFonts w:hint="eastAsia" w:ascii="宋体" w:hAnsi="宋体" w:cs="楷体"/>
                <w:b w:val="0"/>
                <w:bCs w:val="0"/>
                <w:sz w:val="21"/>
                <w:szCs w:val="21"/>
              </w:rPr>
            </w:pPr>
            <w:r>
              <w:rPr>
                <w:rFonts w:hint="eastAsia" w:ascii="宋体" w:hAnsi="宋体" w:cs="楷体"/>
                <w:b w:val="0"/>
                <w:bCs w:val="0"/>
                <w:sz w:val="21"/>
                <w:szCs w:val="21"/>
              </w:rPr>
              <w:t>3、 客户满意度95分以上</w:t>
            </w:r>
          </w:p>
          <w:p>
            <w:pPr>
              <w:pStyle w:val="11"/>
              <w:spacing w:line="240" w:lineRule="auto"/>
              <w:ind w:left="0" w:leftChars="0" w:firstLine="0" w:firstLineChars="0"/>
              <w:jc w:val="left"/>
              <w:rPr>
                <w:rFonts w:hint="eastAsia" w:ascii="黑体" w:hAnsi="宋体" w:eastAsia="黑体" w:cs="宋体"/>
                <w:b w:val="0"/>
                <w:bCs w:val="0"/>
                <w:kern w:val="0"/>
                <w:sz w:val="21"/>
                <w:szCs w:val="21"/>
              </w:rPr>
            </w:pPr>
            <w:r>
              <w:rPr>
                <w:rFonts w:hint="eastAsia" w:ascii="楷体" w:hAnsi="楷体" w:eastAsia="楷体" w:cs="楷体"/>
                <w:b w:val="0"/>
                <w:bCs w:val="0"/>
                <w:sz w:val="21"/>
                <w:szCs w:val="21"/>
              </w:rPr>
              <w:t xml:space="preserve"> </w:t>
            </w:r>
            <w:r>
              <w:rPr>
                <w:rFonts w:hint="eastAsia" w:ascii="宋体" w:hAnsi="宋体" w:cs="宋体"/>
                <w:b w:val="0"/>
                <w:bCs w:val="0"/>
                <w:kern w:val="0"/>
                <w:sz w:val="21"/>
                <w:szCs w:val="21"/>
              </w:rPr>
              <w:t>环境目标：</w:t>
            </w:r>
            <w:r>
              <w:rPr>
                <w:rFonts w:hint="eastAsia" w:ascii="黑体" w:hAnsi="宋体" w:eastAsia="黑体" w:cs="宋体"/>
                <w:b w:val="0"/>
                <w:bCs w:val="0"/>
                <w:kern w:val="0"/>
                <w:sz w:val="21"/>
                <w:szCs w:val="21"/>
              </w:rPr>
              <w:t xml:space="preserve">         </w:t>
            </w:r>
          </w:p>
          <w:p>
            <w:pPr>
              <w:numPr>
                <w:ilvl w:val="0"/>
                <w:numId w:val="4"/>
              </w:numPr>
              <w:tabs>
                <w:tab w:val="left" w:pos="1134"/>
                <w:tab w:val="left" w:pos="1276"/>
              </w:tabs>
              <w:spacing w:line="240" w:lineRule="auto"/>
              <w:rPr>
                <w:rFonts w:hint="eastAsia" w:ascii="宋体" w:hAnsi="宋体" w:cs="楷体"/>
                <w:b w:val="0"/>
                <w:bCs w:val="0"/>
                <w:sz w:val="21"/>
                <w:szCs w:val="21"/>
              </w:rPr>
            </w:pPr>
            <w:r>
              <w:rPr>
                <w:rFonts w:hint="eastAsia" w:ascii="宋体" w:hAnsi="宋体" w:cs="楷体"/>
                <w:b w:val="0"/>
                <w:bCs w:val="0"/>
                <w:sz w:val="21"/>
                <w:szCs w:val="21"/>
              </w:rPr>
              <w:t>固废分类回收处理率100</w:t>
            </w:r>
            <w:r>
              <w:rPr>
                <w:rFonts w:hint="eastAsia" w:ascii="宋体" w:hAnsi="宋体" w:cs="楷体"/>
                <w:b w:val="0"/>
                <w:bCs w:val="0"/>
                <w:sz w:val="21"/>
                <w:szCs w:val="21"/>
                <w:lang w:val="en-US" w:eastAsia="zh-CN"/>
              </w:rPr>
              <w:t>；</w:t>
            </w:r>
          </w:p>
          <w:p>
            <w:pPr>
              <w:numPr>
                <w:ilvl w:val="0"/>
                <w:numId w:val="4"/>
              </w:numPr>
              <w:tabs>
                <w:tab w:val="left" w:pos="1134"/>
                <w:tab w:val="left" w:pos="1276"/>
              </w:tabs>
              <w:spacing w:line="240" w:lineRule="auto"/>
              <w:rPr>
                <w:rFonts w:hint="eastAsia" w:ascii="宋体" w:hAnsi="宋体" w:cs="楷体"/>
                <w:b w:val="0"/>
                <w:bCs w:val="0"/>
                <w:sz w:val="21"/>
                <w:szCs w:val="21"/>
              </w:rPr>
            </w:pPr>
            <w:r>
              <w:rPr>
                <w:rFonts w:hint="eastAsia" w:ascii="宋体" w:hAnsi="宋体" w:cs="楷体"/>
                <w:b w:val="0"/>
                <w:bCs w:val="0"/>
                <w:sz w:val="21"/>
                <w:szCs w:val="21"/>
              </w:rPr>
              <w:t>火灾事故为0；</w:t>
            </w:r>
          </w:p>
          <w:p>
            <w:pPr>
              <w:tabs>
                <w:tab w:val="left" w:pos="1134"/>
                <w:tab w:val="left" w:pos="1276"/>
              </w:tabs>
              <w:spacing w:line="240" w:lineRule="auto"/>
              <w:rPr>
                <w:rFonts w:hint="eastAsia" w:ascii="宋体" w:hAnsi="宋体" w:cs="宋体"/>
                <w:b/>
                <w:bCs/>
                <w:kern w:val="0"/>
                <w:sz w:val="21"/>
                <w:szCs w:val="21"/>
              </w:rPr>
            </w:pPr>
            <w:r>
              <w:rPr>
                <w:rFonts w:hint="eastAsia" w:ascii="楷体" w:hAnsi="楷体" w:eastAsia="楷体" w:cs="楷体"/>
                <w:b w:val="0"/>
                <w:bCs w:val="0"/>
                <w:sz w:val="21"/>
                <w:szCs w:val="21"/>
              </w:rPr>
              <w:t xml:space="preserve">  </w:t>
            </w:r>
            <w:r>
              <w:rPr>
                <w:rFonts w:hint="eastAsia" w:ascii="宋体" w:hAnsi="宋体" w:cs="宋体"/>
                <w:b w:val="0"/>
                <w:bCs w:val="0"/>
                <w:kern w:val="0"/>
                <w:sz w:val="21"/>
                <w:szCs w:val="21"/>
              </w:rPr>
              <w:t>职业健康安全目标：</w:t>
            </w:r>
            <w:r>
              <w:rPr>
                <w:rFonts w:hint="eastAsia" w:ascii="宋体" w:hAnsi="宋体" w:cs="宋体"/>
                <w:b/>
                <w:bCs/>
                <w:kern w:val="0"/>
                <w:sz w:val="21"/>
                <w:szCs w:val="21"/>
              </w:rPr>
              <w:t xml:space="preserve">  </w:t>
            </w:r>
          </w:p>
          <w:p>
            <w:pPr>
              <w:tabs>
                <w:tab w:val="left" w:pos="1134"/>
                <w:tab w:val="left" w:pos="1276"/>
              </w:tabs>
              <w:spacing w:line="240" w:lineRule="auto"/>
              <w:rPr>
                <w:rFonts w:hint="eastAsia" w:ascii="宋体" w:hAnsi="宋体" w:cs="楷体"/>
                <w:bCs/>
                <w:sz w:val="21"/>
                <w:szCs w:val="21"/>
              </w:rPr>
            </w:pPr>
            <w:r>
              <w:rPr>
                <w:rFonts w:hint="eastAsia" w:ascii="宋体" w:hAnsi="宋体" w:cs="楷体"/>
                <w:bCs/>
                <w:sz w:val="21"/>
                <w:szCs w:val="21"/>
              </w:rPr>
              <w:t>1、火灾事故为0；</w:t>
            </w:r>
          </w:p>
          <w:p>
            <w:pPr>
              <w:tabs>
                <w:tab w:val="left" w:pos="1134"/>
                <w:tab w:val="left" w:pos="1276"/>
              </w:tabs>
              <w:spacing w:line="240" w:lineRule="auto"/>
              <w:rPr>
                <w:rFonts w:hint="eastAsia" w:ascii="宋体" w:hAnsi="宋体" w:cs="楷体"/>
                <w:bCs/>
                <w:sz w:val="21"/>
                <w:szCs w:val="21"/>
              </w:rPr>
            </w:pPr>
            <w:r>
              <w:rPr>
                <w:rFonts w:hint="eastAsia" w:ascii="宋体" w:hAnsi="宋体" w:cs="楷体"/>
                <w:bCs/>
                <w:sz w:val="21"/>
                <w:szCs w:val="21"/>
              </w:rPr>
              <w:t>2、触电事故为0；</w:t>
            </w:r>
          </w:p>
          <w:p>
            <w:pPr>
              <w:tabs>
                <w:tab w:val="left" w:pos="1134"/>
                <w:tab w:val="left" w:pos="1276"/>
              </w:tabs>
              <w:spacing w:line="240" w:lineRule="auto"/>
              <w:rPr>
                <w:rFonts w:hint="eastAsia" w:ascii="宋体" w:hAnsi="宋体" w:cs="楷体"/>
                <w:bCs/>
                <w:sz w:val="21"/>
                <w:szCs w:val="21"/>
              </w:rPr>
            </w:pPr>
            <w:r>
              <w:rPr>
                <w:rFonts w:hint="eastAsia" w:ascii="宋体" w:hAnsi="宋体" w:cs="楷体"/>
                <w:bCs/>
                <w:sz w:val="21"/>
                <w:szCs w:val="21"/>
              </w:rPr>
              <w:t>3、机械伤害事故为0；</w:t>
            </w:r>
          </w:p>
          <w:p>
            <w:pPr>
              <w:tabs>
                <w:tab w:val="left" w:pos="1134"/>
                <w:tab w:val="left" w:pos="1276"/>
              </w:tabs>
              <w:spacing w:line="240" w:lineRule="auto"/>
              <w:rPr>
                <w:rFonts w:ascii="宋体" w:hAnsi="宋体" w:eastAsia="宋体" w:cs="Times New Roman"/>
                <w:b/>
                <w:kern w:val="2"/>
                <w:sz w:val="21"/>
                <w:szCs w:val="21"/>
                <w:lang w:val="en-US" w:eastAsia="zh-CN" w:bidi="ar-SA"/>
              </w:rPr>
            </w:pPr>
            <w:r>
              <w:rPr>
                <w:rFonts w:hint="eastAsia" w:ascii="宋体" w:hAnsi="宋体" w:cs="楷体"/>
                <w:bCs/>
                <w:sz w:val="21"/>
                <w:szCs w:val="21"/>
              </w:rPr>
              <w:t>4、意外伤害事故为0；</w:t>
            </w:r>
            <w:r>
              <w:rPr>
                <w:rFonts w:hint="eastAsia" w:ascii="Times New Roman" w:hAnsi="Times New Roman" w:eastAsia="宋体" w:cs="Times New Roman"/>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公司编制了《文件、记录控制程序》并按照申请认证的标准要求，建立并形成了文件化的质量管理体系，体系文件对管理体系各过程进行了识别确定，明确了各要素间的相互关系及其管控要求。公司体系文件于20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eastAsia="宋体" w:cs="Times New Roman"/>
                <w:b/>
                <w:kern w:val="2"/>
                <w:sz w:val="21"/>
                <w:szCs w:val="21"/>
                <w:lang w:val="en-US" w:eastAsia="zh-CN" w:bidi="ar-SA"/>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设备设施（包括信息系统）、</w:t>
            </w:r>
          </w:p>
          <w:p>
            <w:pPr>
              <w:spacing w:line="400" w:lineRule="exact"/>
              <w:ind w:firstLine="525" w:firstLineChars="250"/>
              <w:rPr>
                <w:rFonts w:ascii="宋体" w:hAnsi="宋体" w:eastAsia="宋体" w:cs="Times New Roman"/>
                <w:b/>
                <w:kern w:val="2"/>
                <w:sz w:val="21"/>
                <w:szCs w:val="21"/>
                <w:lang w:val="en-US" w:eastAsia="zh-CN" w:bidi="ar-SA"/>
              </w:rPr>
            </w:pPr>
            <w:r>
              <w:rPr>
                <w:rFonts w:hint="eastAsia" w:ascii="宋体" w:hAnsi="宋体" w:eastAsia="宋体" w:cs="宋体"/>
                <w:szCs w:val="21"/>
                <w:highlight w:val="none"/>
                <w:lang w:val="en-US" w:eastAsia="zh-CN"/>
              </w:rPr>
              <w:t>生产车间</w:t>
            </w:r>
            <w:r>
              <w:rPr>
                <w:rFonts w:hint="eastAsia" w:ascii="宋体" w:hAnsi="宋体" w:eastAsia="宋体" w:cs="宋体"/>
                <w:szCs w:val="21"/>
                <w:highlight w:val="none"/>
              </w:rPr>
              <w:t>面积</w:t>
            </w:r>
            <w:r>
              <w:rPr>
                <w:rFonts w:hint="eastAsia" w:ascii="宋体" w:hAnsi="宋体" w:cs="宋体"/>
                <w:szCs w:val="21"/>
                <w:highlight w:val="none"/>
                <w:lang w:val="en-US" w:eastAsia="zh-CN"/>
              </w:rPr>
              <w:t>1000</w:t>
            </w:r>
            <w:r>
              <w:rPr>
                <w:rFonts w:hint="eastAsia" w:ascii="宋体" w:hAnsi="宋体" w:eastAsia="宋体" w:cs="宋体"/>
                <w:szCs w:val="21"/>
                <w:highlight w:val="none"/>
              </w:rPr>
              <w:t>平方</w:t>
            </w:r>
            <w:r>
              <w:rPr>
                <w:rFonts w:hint="eastAsia" w:ascii="宋体" w:hAnsi="宋体" w:eastAsia="宋体" w:cs="宋体"/>
                <w:szCs w:val="21"/>
                <w:highlight w:val="none"/>
                <w:lang w:val="en-US" w:eastAsia="zh-CN"/>
              </w:rPr>
              <w:t>米</w:t>
            </w:r>
            <w:r>
              <w:rPr>
                <w:rFonts w:hint="eastAsia" w:ascii="宋体" w:hAnsi="宋体" w:eastAsia="宋体" w:cs="宋体"/>
                <w:szCs w:val="21"/>
                <w:highlight w:val="none"/>
              </w:rPr>
              <w:t>左右，</w:t>
            </w:r>
            <w:r>
              <w:rPr>
                <w:rFonts w:hint="eastAsia" w:ascii="宋体" w:hAnsi="宋体" w:eastAsia="宋体" w:cs="宋体"/>
                <w:szCs w:val="21"/>
                <w:highlight w:val="none"/>
                <w:lang w:val="en-US" w:eastAsia="zh-CN"/>
              </w:rPr>
              <w:t>办公面积</w:t>
            </w:r>
            <w:r>
              <w:rPr>
                <w:rFonts w:hint="eastAsia" w:ascii="宋体" w:hAnsi="宋体" w:cs="宋体"/>
                <w:szCs w:val="21"/>
                <w:highlight w:val="none"/>
                <w:lang w:val="en-US" w:eastAsia="zh-CN"/>
              </w:rPr>
              <w:t>500</w:t>
            </w:r>
            <w:r>
              <w:rPr>
                <w:rFonts w:hint="eastAsia" w:ascii="宋体" w:hAnsi="宋体" w:eastAsia="宋体" w:cs="宋体"/>
                <w:szCs w:val="21"/>
                <w:highlight w:val="none"/>
                <w:lang w:val="en-US" w:eastAsia="zh-CN"/>
              </w:rPr>
              <w:t>平方米</w:t>
            </w:r>
            <w:r>
              <w:rPr>
                <w:rFonts w:hint="eastAsia" w:ascii="宋体" w:hAnsi="宋体" w:cs="宋体"/>
                <w:szCs w:val="21"/>
                <w:highlight w:val="none"/>
                <w:lang w:val="en-US" w:eastAsia="zh-CN"/>
              </w:rPr>
              <w:t>。</w:t>
            </w:r>
            <w:r>
              <w:rPr>
                <w:rFonts w:hint="eastAsia" w:ascii="宋体" w:hAnsi="宋体" w:cs="宋体"/>
                <w:szCs w:val="21"/>
                <w:highlight w:val="none"/>
              </w:rPr>
              <w:t>主要生产设备包括</w:t>
            </w:r>
            <w:r>
              <w:rPr>
                <w:rFonts w:hint="eastAsia" w:ascii="宋体" w:hAnsi="宋体" w:cs="宋体"/>
                <w:color w:val="000000"/>
                <w:szCs w:val="21"/>
                <w:highlight w:val="none"/>
              </w:rPr>
              <w:t>：</w:t>
            </w:r>
            <w:r>
              <w:rPr>
                <w:rFonts w:hint="eastAsia"/>
                <w:highlight w:val="none"/>
              </w:rPr>
              <w:t>办公设备（电脑、打印机、复印机等）、</w:t>
            </w:r>
            <w:r>
              <w:rPr>
                <w:rFonts w:hint="eastAsia"/>
                <w:highlight w:val="none"/>
                <w:lang w:val="en-US" w:eastAsia="zh-CN"/>
              </w:rPr>
              <w:t>生产</w:t>
            </w:r>
            <w:r>
              <w:rPr>
                <w:rFonts w:hint="eastAsia"/>
                <w:highlight w:val="none"/>
              </w:rPr>
              <w:t>设备（流水线工作台、砂轮机、电烙铁、网口钳</w:t>
            </w:r>
            <w:r>
              <w:rPr>
                <w:rFonts w:hint="eastAsia"/>
                <w:highlight w:val="none"/>
                <w:lang w:eastAsia="zh-CN"/>
              </w:rPr>
              <w:t>、</w:t>
            </w:r>
            <w:r>
              <w:rPr>
                <w:rFonts w:hint="eastAsia"/>
                <w:highlight w:val="none"/>
              </w:rPr>
              <w:t>开孔器</w:t>
            </w:r>
            <w:r>
              <w:rPr>
                <w:rFonts w:hint="eastAsia"/>
                <w:highlight w:val="none"/>
                <w:lang w:eastAsia="zh-CN"/>
              </w:rPr>
              <w:t>、</w:t>
            </w:r>
            <w:r>
              <w:rPr>
                <w:rFonts w:hint="eastAsia"/>
                <w:highlight w:val="none"/>
              </w:rPr>
              <w:t>交换机</w:t>
            </w:r>
            <w:r>
              <w:rPr>
                <w:rFonts w:hint="eastAsia"/>
                <w:highlight w:val="none"/>
                <w:lang w:eastAsia="zh-CN"/>
              </w:rPr>
              <w:t>、</w:t>
            </w:r>
            <w:r>
              <w:rPr>
                <w:rFonts w:hint="eastAsia"/>
                <w:highlight w:val="none"/>
              </w:rPr>
              <w:t>五金工具（螺丝刀等）</w:t>
            </w:r>
            <w:r>
              <w:rPr>
                <w:rFonts w:hint="eastAsia"/>
                <w:highlight w:val="none"/>
                <w:lang w:eastAsia="zh-CN"/>
              </w:rPr>
              <w:t>）</w:t>
            </w:r>
            <w:r>
              <w:rPr>
                <w:highlight w:val="none"/>
              </w:rPr>
              <w:t>等</w:t>
            </w:r>
            <w:r>
              <w:rPr>
                <w:rFonts w:hint="eastAsia" w:ascii="宋体" w:hAnsi="宋体" w:cs="宋体"/>
                <w:color w:val="000000"/>
                <w:szCs w:val="21"/>
                <w:highlight w:val="none"/>
              </w:rPr>
              <w:t>，可以满足</w:t>
            </w:r>
            <w:r>
              <w:rPr>
                <w:sz w:val="20"/>
                <w:highlight w:val="none"/>
              </w:rPr>
              <w:t>空气质量检测仪的组装</w:t>
            </w:r>
            <w:r>
              <w:rPr>
                <w:rFonts w:hint="eastAsia" w:ascii="宋体" w:hAnsi="宋体" w:cs="宋体"/>
                <w:color w:val="000000"/>
                <w:szCs w:val="21"/>
                <w:highlight w:val="none"/>
              </w:rPr>
              <w:t>需要。</w:t>
            </w:r>
            <w:r>
              <w:rPr>
                <w:rFonts w:hint="eastAsia" w:ascii="宋体" w:hAnsi="宋体" w:cs="宋体"/>
                <w:color w:val="000000"/>
                <w:szCs w:val="21"/>
                <w:highlight w:val="none"/>
                <w:lang w:val="en-US" w:eastAsia="zh-CN"/>
              </w:rPr>
              <w:t>生产部</w:t>
            </w:r>
            <w:r>
              <w:rPr>
                <w:rFonts w:hint="eastAsia" w:ascii="宋体" w:hAnsi="宋体" w:cs="宋体"/>
                <w:szCs w:val="21"/>
                <w:highlight w:val="none"/>
              </w:rPr>
              <w:t>对设备按月方式进行点检维护保养，并实施</w:t>
            </w:r>
            <w:r>
              <w:rPr>
                <w:rFonts w:hint="eastAsia" w:ascii="宋体" w:hAnsi="宋体" w:cs="宋体"/>
                <w:color w:val="000000"/>
                <w:szCs w:val="21"/>
                <w:highlight w:val="none"/>
              </w:rPr>
              <w:t>。特种设备：</w:t>
            </w:r>
            <w:r>
              <w:rPr>
                <w:rFonts w:hint="eastAsia"/>
                <w:szCs w:val="21"/>
                <w:highlight w:val="none"/>
              </w:rPr>
              <w:t>无</w:t>
            </w:r>
            <w:r>
              <w:rPr>
                <w:rFonts w:hint="eastAsia" w:ascii="宋体" w:hAnsi="宋体"/>
                <w:szCs w:val="21"/>
                <w:highlight w:val="none"/>
              </w:rPr>
              <w:t>。</w:t>
            </w:r>
            <w:r>
              <w:rPr>
                <w:rFonts w:hint="eastAsia" w:ascii="宋体" w:hAnsi="宋体" w:cs="宋体"/>
                <w:color w:val="000000"/>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szCs w:val="21"/>
              </w:rPr>
              <w:t>办公区域内设备布置合理，照明设施齐全，均配备了灭火器、消防栓等设施。目前公司</w:t>
            </w:r>
            <w:r>
              <w:rPr>
                <w:rFonts w:hint="eastAsia" w:ascii="宋体" w:hAnsi="宋体"/>
                <w:szCs w:val="21"/>
                <w:lang w:val="en-US" w:eastAsia="zh-CN"/>
              </w:rPr>
              <w:t>产品为</w:t>
            </w:r>
            <w:r>
              <w:rPr>
                <w:sz w:val="20"/>
              </w:rPr>
              <w:t>空气质量检测仪的组装</w:t>
            </w:r>
            <w:r>
              <w:rPr>
                <w:rFonts w:hint="eastAsia"/>
                <w:sz w:val="20"/>
                <w:lang w:val="en-US" w:eastAsia="zh-CN"/>
              </w:rPr>
              <w:t>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监视和测量资源</w:t>
            </w:r>
          </w:p>
          <w:p>
            <w:pPr>
              <w:spacing w:line="360" w:lineRule="auto"/>
              <w:rPr>
                <w:rFonts w:hint="default"/>
                <w:highlight w:val="green"/>
                <w:lang w:val="en-US" w:eastAsia="zh-CN"/>
              </w:rPr>
            </w:pPr>
            <w:r>
              <w:rPr>
                <w:rFonts w:hint="eastAsia"/>
                <w:highlight w:val="none"/>
                <w:lang w:val="en-US" w:eastAsia="zh-CN"/>
              </w:rPr>
              <w:t>配置有万用表、千分尺、游标卡尺、钢卷尺、二氧化硫气体检测仪、一氧化碳红外线气体分析器、多种气体校准仪等检测设备。提供有万用表、千分尺、游标卡尺、钢卷尺的有效校准证书，未提供二氧化硫气体检测仪、一氧化碳红外线气体分析器、多种气体校准仪的有效检定或校准证书。需整改。</w:t>
            </w:r>
          </w:p>
          <w:p>
            <w:pPr>
              <w:spacing w:line="40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3"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eastAsia="宋体" w:cs="Times New Roman"/>
                <w:b/>
                <w:kern w:val="2"/>
                <w:sz w:val="21"/>
                <w:szCs w:val="21"/>
                <w:lang w:val="en-US" w:eastAsia="zh-CN" w:bidi="ar-SA"/>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eastAsia="宋体" w:cs="Times New Roman"/>
                <w:b/>
                <w:kern w:val="2"/>
                <w:sz w:val="21"/>
                <w:szCs w:val="21"/>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Cs w:val="21"/>
              </w:rPr>
              <w:t>组织重要环境因素为</w:t>
            </w:r>
            <w:r>
              <w:rPr>
                <w:rFonts w:hint="eastAsia" w:ascii="宋体" w:hAnsi="宋体"/>
                <w:szCs w:val="21"/>
              </w:rPr>
              <w:t>潜在火灾、固废排放</w:t>
            </w:r>
            <w:r>
              <w:rPr>
                <w:rFonts w:hint="eastAsia" w:asciiTheme="minorEastAsia" w:hAnsiTheme="minorEastAsia" w:eastAsiaTheme="minorEastAsia"/>
                <w:bCs/>
                <w:iCs/>
                <w:szCs w:val="21"/>
              </w:rPr>
              <w:t>，需要应对的风险和机遇相关的过程为保洁、安保、办公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eastAsia="宋体" w:cs="Times New Roman"/>
                <w:szCs w:val="21"/>
                <w:lang w:val="en-US" w:eastAsia="zh-CN"/>
              </w:rPr>
              <w:t>1）</w:t>
            </w:r>
            <w:r>
              <w:rPr>
                <w:rFonts w:hint="eastAsia" w:ascii="宋体" w:hAnsi="宋体" w:eastAsia="宋体" w:cs="Times New Roman"/>
                <w:szCs w:val="21"/>
              </w:rPr>
              <w:t>潜在火灾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固废排放</w:t>
            </w:r>
            <w:r>
              <w:rPr>
                <w:rFonts w:hint="eastAsia" w:asciiTheme="minorEastAsia" w:hAnsiTheme="minorEastAsia" w:eastAsiaTheme="minorEastAsia"/>
                <w:bCs/>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5"/>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spacing w:line="360" w:lineRule="auto"/>
              <w:rPr>
                <w:rFonts w:asciiTheme="minorEastAsia" w:hAnsiTheme="minorEastAsia" w:eastAsiaTheme="minorEastAsia"/>
                <w:bCs/>
                <w:iCs/>
                <w:szCs w:val="21"/>
              </w:rPr>
            </w:pPr>
            <w:r>
              <w:rPr>
                <w:rFonts w:hint="eastAsia" w:asciiTheme="minorEastAsia" w:hAnsiTheme="minorEastAsia" w:eastAsiaTheme="minorEastAsia"/>
                <w:bCs/>
                <w:iCs/>
                <w:szCs w:val="21"/>
              </w:rPr>
              <w:t>组织建立了危险源识别、评价控制程序，识别评价了危险源、风险相关的过程，评价出了重要危险源</w:t>
            </w:r>
            <w:r>
              <w:rPr>
                <w:rFonts w:hint="eastAsia"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火灾</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cs="Times New Roman"/>
                <w:szCs w:val="21"/>
                <w:highlight w:val="none"/>
                <w:lang w:val="en-US" w:eastAsia="zh-CN"/>
              </w:rPr>
              <w:t>机械伤害</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意外</w:t>
            </w:r>
            <w:r>
              <w:rPr>
                <w:rFonts w:hint="eastAsia" w:ascii="宋体" w:hAnsi="宋体" w:eastAsia="宋体" w:cs="Times New Roman"/>
                <w:szCs w:val="21"/>
                <w:highlight w:val="none"/>
                <w:lang w:eastAsia="zh-CN"/>
              </w:rPr>
              <w:t>伤害</w:t>
            </w:r>
            <w:r>
              <w:rPr>
                <w:rFonts w:hint="eastAsia" w:ascii="宋体" w:hAnsi="宋体" w:cs="Times New Roman"/>
                <w:szCs w:val="21"/>
                <w:highlight w:val="none"/>
                <w:lang w:val="en-US" w:eastAsia="zh-CN"/>
              </w:rPr>
              <w:t>事故</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4）触电</w:t>
            </w:r>
            <w:r>
              <w:rPr>
                <w:rFonts w:hint="eastAsia" w:ascii="宋体" w:hAnsi="宋体"/>
                <w:color w:val="000000"/>
                <w:szCs w:val="21"/>
                <w:lang w:eastAsia="zh-CN"/>
              </w:rPr>
              <w:t>。</w:t>
            </w:r>
            <w:r>
              <w:rPr>
                <w:rFonts w:hint="eastAsia" w:asciiTheme="minorEastAsia" w:hAnsiTheme="minorEastAsia" w:eastAsiaTheme="minorEastAsia"/>
                <w:bCs/>
                <w:iCs/>
                <w:szCs w:val="21"/>
              </w:rPr>
              <w:t>与之相关的过程有服务、信息处理过程，针对不可接受风险制定了管理方案。控制措施实施有效。</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eastAsia="宋体" w:cs="Times New Roman"/>
                <w:b/>
                <w:kern w:val="2"/>
                <w:sz w:val="21"/>
                <w:szCs w:val="21"/>
                <w:lang w:val="en-US" w:eastAsia="zh-CN" w:bidi="ar-SA"/>
              </w:rPr>
            </w:pPr>
            <w:r>
              <w:rPr>
                <w:rFonts w:hint="eastAsia" w:ascii="宋体" w:hAns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eastAsia="宋体" w:cs="Times New Roman"/>
                <w:b/>
                <w:kern w:val="2"/>
                <w:sz w:val="21"/>
                <w:szCs w:val="21"/>
                <w:lang w:val="en-US" w:eastAsia="zh-CN" w:bidi="ar-SA"/>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w:t>
            </w:r>
            <w:r>
              <w:rPr>
                <w:rFonts w:hint="eastAsia" w:ascii="宋体" w:hAnsi="宋体" w:cs="宋体"/>
                <w:color w:val="000000"/>
                <w:szCs w:val="21"/>
                <w:highlight w:val="none"/>
              </w:rPr>
              <w:t>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6"/>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月实施，满意度评价9</w:t>
            </w:r>
            <w:r>
              <w:rPr>
                <w:rFonts w:hint="eastAsia" w:ascii="宋体" w:hAnsi="宋体" w:cs="宋体"/>
                <w:color w:val="auto"/>
                <w:szCs w:val="21"/>
                <w:lang w:val="en-US" w:eastAsia="zh-CN"/>
              </w:rPr>
              <w:t>8</w:t>
            </w:r>
            <w:r>
              <w:rPr>
                <w:rFonts w:hint="eastAsia" w:ascii="宋体" w:hAnsi="宋体" w:cs="宋体"/>
                <w:color w:val="auto"/>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建立有《内部审核控制程序》，规定了内审频次一年一次，内审时间：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w:t>
            </w:r>
            <w:r>
              <w:rPr>
                <w:rFonts w:hint="eastAsia" w:ascii="宋体" w:hAnsi="宋体"/>
                <w:szCs w:val="21"/>
                <w:lang w:val="en-US" w:eastAsia="zh-CN"/>
              </w:rPr>
              <w:t>-15日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2</w:t>
            </w:r>
            <w:r>
              <w:rPr>
                <w:rFonts w:hint="eastAsia" w:ascii="宋体" w:hAnsi="宋体" w:cs="宋体"/>
                <w:szCs w:val="21"/>
              </w:rPr>
              <w:t>项，</w:t>
            </w:r>
            <w:r>
              <w:rPr>
                <w:rFonts w:hint="eastAsia" w:ascii="宋体" w:hAnsi="宋体"/>
                <w:szCs w:val="21"/>
              </w:rPr>
              <w:t>涉及</w:t>
            </w:r>
            <w:r>
              <w:rPr>
                <w:rFonts w:hint="eastAsia" w:ascii="宋体" w:hAnsi="宋体"/>
                <w:szCs w:val="21"/>
                <w:lang w:val="en-US" w:eastAsia="zh-CN"/>
              </w:rPr>
              <w:t>行政人资部</w:t>
            </w:r>
            <w:r>
              <w:rPr>
                <w:rFonts w:hint="eastAsia" w:ascii="宋体" w:hAnsi="宋体"/>
                <w:szCs w:val="21"/>
              </w:rPr>
              <w:t>E</w:t>
            </w:r>
            <w:r>
              <w:rPr>
                <w:rFonts w:hint="eastAsia" w:ascii="宋体" w:hAnsi="宋体"/>
                <w:szCs w:val="21"/>
                <w:lang w:val="en-US" w:eastAsia="zh-CN"/>
              </w:rPr>
              <w:t>S</w:t>
            </w:r>
            <w:r>
              <w:rPr>
                <w:rFonts w:hint="eastAsia" w:ascii="宋体" w:hAnsi="宋体"/>
                <w:szCs w:val="21"/>
              </w:rPr>
              <w:t>8.</w:t>
            </w:r>
            <w:r>
              <w:rPr>
                <w:rFonts w:hint="eastAsia" w:ascii="宋体" w:hAnsi="宋体"/>
                <w:szCs w:val="21"/>
                <w:lang w:val="en-US" w:eastAsia="zh-CN"/>
              </w:rPr>
              <w:t>2</w:t>
            </w:r>
            <w:r>
              <w:rPr>
                <w:rFonts w:hint="eastAsia" w:ascii="宋体" w:hAnsi="宋体"/>
                <w:szCs w:val="21"/>
              </w:rPr>
              <w:t>条款办公室有1支灭火器已过期</w:t>
            </w:r>
            <w:r>
              <w:rPr>
                <w:rFonts w:hint="eastAsia" w:ascii="宋体" w:hAnsi="宋体"/>
                <w:szCs w:val="21"/>
                <w:lang w:val="en-US" w:eastAsia="zh-CN"/>
              </w:rPr>
              <w:t>和</w:t>
            </w:r>
            <w:r>
              <w:rPr>
                <w:rFonts w:hint="eastAsia" w:ascii="宋体" w:hAnsi="宋体"/>
                <w:szCs w:val="21"/>
              </w:rPr>
              <w:t>市场部</w:t>
            </w:r>
            <w:r>
              <w:rPr>
                <w:rFonts w:hint="eastAsia" w:ascii="宋体" w:hAnsi="宋体"/>
                <w:szCs w:val="21"/>
                <w:lang w:val="en-US" w:eastAsia="zh-CN"/>
              </w:rPr>
              <w:t>Q9.1.2条款</w:t>
            </w:r>
            <w:r>
              <w:rPr>
                <w:rFonts w:hint="eastAsia" w:ascii="宋体" w:hAnsi="宋体"/>
                <w:szCs w:val="21"/>
              </w:rPr>
              <w:t>未对“客户满意</w:t>
            </w:r>
            <w:r>
              <w:rPr>
                <w:rFonts w:hint="eastAsia"/>
              </w:rPr>
              <w:t>度调查表”及时进行统计和分析</w:t>
            </w:r>
            <w:r>
              <w:rPr>
                <w:rFonts w:hint="eastAsia" w:ascii="宋体" w:hAnsi="宋体"/>
                <w:szCs w:val="21"/>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numPr>
                <w:ilvl w:val="0"/>
                <w:numId w:val="7"/>
              </w:numPr>
              <w:spacing w:line="240" w:lineRule="exact"/>
              <w:rPr>
                <w:rFonts w:ascii="宋体" w:hAnsi="宋体"/>
                <w:b/>
                <w:szCs w:val="21"/>
              </w:rPr>
            </w:pP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 xml:space="preserve">  </w:t>
            </w:r>
            <w:r>
              <w:rPr>
                <w:rFonts w:hint="eastAsia" w:ascii="宋体" w:hAnsi="宋体" w:eastAsia="宋体" w:cs="宋体"/>
                <w:b w:val="0"/>
                <w:bCs w:val="0"/>
                <w:color w:val="000000"/>
                <w:kern w:val="0"/>
                <w:sz w:val="21"/>
                <w:szCs w:val="21"/>
                <w:lang w:val="en-US" w:eastAsia="zh-CN" w:bidi="ar"/>
              </w:rPr>
              <w:t>提供有：建设项目环境影响登记表</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kern w:val="0"/>
                <w:sz w:val="21"/>
                <w:szCs w:val="21"/>
                <w:lang w:val="en-US" w:eastAsia="zh-CN" w:bidi="ar"/>
              </w:rPr>
              <w:t>备案号：202050011900000016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ind w:left="105" w:hanging="105"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numPr>
                <w:ilvl w:val="0"/>
                <w:numId w:val="0"/>
              </w:numPr>
              <w:spacing w:line="400" w:lineRule="exact"/>
              <w:rPr>
                <w:rFonts w:ascii="宋体" w:hAnsi="宋体" w:eastAsia="宋体" w:cs="Times New Roman"/>
                <w:b/>
                <w:kern w:val="2"/>
                <w:sz w:val="21"/>
                <w:szCs w:val="21"/>
                <w:lang w:val="en-US" w:eastAsia="zh-CN" w:bidi="ar-SA"/>
              </w:rPr>
            </w:pPr>
            <w:r>
              <w:rPr>
                <w:rFonts w:hint="eastAsia" w:ascii="Bold" w:hAnsi="Bold" w:eastAsia="Bold" w:cs="Bold"/>
                <w:b w:val="0"/>
                <w:bCs w:val="0"/>
                <w:color w:val="000000"/>
                <w:kern w:val="0"/>
                <w:sz w:val="21"/>
                <w:szCs w:val="21"/>
                <w:lang w:val="en-US" w:eastAsia="zh-CN" w:bidi="ar"/>
              </w:rPr>
              <w:t>提供有：</w:t>
            </w:r>
            <w:r>
              <w:rPr>
                <w:rFonts w:ascii="Bold" w:hAnsi="Bold" w:eastAsia="Bold" w:cs="Bold"/>
                <w:b w:val="0"/>
                <w:bCs w:val="0"/>
                <w:color w:val="000000"/>
                <w:kern w:val="0"/>
                <w:sz w:val="21"/>
                <w:szCs w:val="21"/>
                <w:lang w:val="en-US" w:eastAsia="zh-CN" w:bidi="ar"/>
              </w:rPr>
              <w:t>固定污染</w:t>
            </w:r>
            <w:r>
              <w:rPr>
                <w:rFonts w:hint="eastAsia" w:ascii="宋体" w:hAnsi="宋体" w:eastAsia="宋体" w:cs="宋体"/>
                <w:b w:val="0"/>
                <w:bCs w:val="0"/>
                <w:color w:val="000000"/>
                <w:kern w:val="0"/>
                <w:sz w:val="21"/>
                <w:szCs w:val="21"/>
                <w:lang w:val="en-US" w:eastAsia="zh-CN" w:bidi="ar"/>
              </w:rPr>
              <w:t>源排污登记回执，登记编号：91500119MA60FJP86P001Y</w:t>
            </w:r>
            <w:r>
              <w:rPr>
                <w:rFonts w:hint="eastAsia" w:ascii="Bold" w:hAnsi="Bold" w:eastAsia="Bold" w:cs="Bold"/>
                <w:b w:val="0"/>
                <w:bCs w:val="0"/>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ind w:left="105" w:hanging="105"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rPr>
                <w:rFonts w:ascii="宋体" w:hAnsi="宋体"/>
                <w:b/>
                <w:szCs w:val="21"/>
              </w:rPr>
            </w:pPr>
          </w:p>
          <w:p>
            <w:pPr>
              <w:spacing w:line="240" w:lineRule="exact"/>
              <w:ind w:firstLine="211" w:firstLineChars="100"/>
              <w:rPr>
                <w:rFonts w:ascii="宋体" w:hAnsi="宋体" w:eastAsia="宋体" w:cs="Times New Roman"/>
                <w:b/>
                <w:kern w:val="2"/>
                <w:sz w:val="21"/>
                <w:szCs w:val="21"/>
                <w:lang w:val="en-US" w:eastAsia="zh-CN" w:bidi="ar-SA"/>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eastAsia="宋体" w:cs="Times New Roman"/>
                <w:b/>
                <w:kern w:val="2"/>
                <w:sz w:val="21"/>
                <w:szCs w:val="21"/>
                <w:lang w:val="en-US" w:eastAsia="zh-CN" w:bidi="ar-SA"/>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rFonts w:ascii="宋体" w:hAnsi="宋体" w:eastAsia="宋体" w:cs="Times New Roman"/>
                <w:b/>
                <w:kern w:val="2"/>
                <w:sz w:val="21"/>
                <w:szCs w:val="21"/>
                <w:lang w:val="en-US" w:eastAsia="zh-CN" w:bidi="ar-SA"/>
              </w:rPr>
            </w:pPr>
            <w:r>
              <w:rPr>
                <w:rFonts w:ascii="宋体" w:hAnsi="宋体"/>
                <w:b/>
                <w:szCs w:val="21"/>
              </w:rPr>
              <w:t xml:space="preserve">9. </w:t>
            </w: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ind w:left="-105" w:leftChars="-50" w:firstLine="405" w:firstLineChars="252"/>
              <w:rPr>
                <w:rFonts w:ascii="宋体" w:hAnsi="宋体" w:eastAsia="宋体" w:cs="Times New Roman"/>
                <w:b/>
                <w:kern w:val="2"/>
                <w:sz w:val="21"/>
                <w:szCs w:val="21"/>
                <w:lang w:val="en-US" w:eastAsia="zh-CN" w:bidi="ar-SA"/>
              </w:rPr>
            </w:pPr>
            <w:r>
              <w:rPr>
                <w:rFonts w:hint="eastAsia"/>
                <w:b/>
                <w:color w:val="000000" w:themeColor="text1"/>
                <w:spacing w:val="-20"/>
                <w:sz w:val="20"/>
                <w:szCs w:val="20"/>
                <w:lang w:eastAsia="zh-CN"/>
              </w:rPr>
              <w:t>二阶段审核时开具的不符合项已关闭。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eastAsia="宋体" w:cs="Times New Roman"/>
                <w:b/>
                <w:kern w:val="2"/>
                <w:sz w:val="21"/>
                <w:szCs w:val="21"/>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sz w:val="24"/>
          <w:szCs w:val="24"/>
          <w:highlight w:val="none"/>
        </w:rPr>
      </w:pPr>
      <w:r>
        <w:rPr>
          <w:rFonts w:hint="eastAsia"/>
          <w:b/>
          <w:color w:val="000000" w:themeColor="text1"/>
          <w:sz w:val="24"/>
          <w:szCs w:val="24"/>
          <w:highlight w:val="none"/>
        </w:rPr>
        <w:t>1. 本次审核共开具不符合项报告</w:t>
      </w:r>
      <w:r>
        <w:rPr>
          <w:rFonts w:hint="eastAsia"/>
          <w:b/>
          <w:color w:val="000000" w:themeColor="text1"/>
          <w:sz w:val="24"/>
          <w:szCs w:val="24"/>
          <w:highlight w:val="none"/>
          <w:lang w:val="en-US" w:eastAsia="zh-CN"/>
        </w:rPr>
        <w:t>1</w:t>
      </w:r>
      <w:r>
        <w:rPr>
          <w:rFonts w:hint="eastAsia"/>
          <w:b/>
          <w:color w:val="000000" w:themeColor="text1"/>
          <w:sz w:val="24"/>
          <w:szCs w:val="24"/>
          <w:highlight w:val="none"/>
        </w:rPr>
        <w:t>项；其中</w:t>
      </w:r>
      <w:r>
        <w:rPr>
          <w:b/>
          <w:color w:val="000000" w:themeColor="text1"/>
          <w:sz w:val="24"/>
          <w:szCs w:val="24"/>
          <w:highlight w:val="none"/>
        </w:rPr>
        <w:pict>
          <v:line id="直接连接符 1" o:spid="_x0000_s2051"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sz w:val="24"/>
          <w:szCs w:val="24"/>
          <w:highlight w:val="none"/>
        </w:rPr>
        <w:t>严重不符合</w:t>
      </w:r>
      <w:r>
        <w:rPr>
          <w:rFonts w:hint="eastAsia"/>
          <w:b/>
          <w:color w:val="000000" w:themeColor="text1"/>
          <w:sz w:val="24"/>
          <w:szCs w:val="24"/>
          <w:highlight w:val="none"/>
          <w:lang w:val="en-US" w:eastAsia="zh-CN"/>
        </w:rPr>
        <w:t>0</w:t>
      </w:r>
      <w:r>
        <w:rPr>
          <w:rFonts w:hint="eastAsia"/>
          <w:b/>
          <w:color w:val="000000" w:themeColor="text1"/>
          <w:sz w:val="24"/>
          <w:szCs w:val="24"/>
          <w:highlight w:val="none"/>
        </w:rPr>
        <w:t>项，一般不符合</w:t>
      </w:r>
      <w:r>
        <w:rPr>
          <w:rFonts w:hint="eastAsia"/>
          <w:b/>
          <w:color w:val="000000" w:themeColor="text1"/>
          <w:sz w:val="24"/>
          <w:szCs w:val="24"/>
          <w:highlight w:val="none"/>
          <w:lang w:val="en-US" w:eastAsia="zh-CN"/>
        </w:rPr>
        <w:t>1</w:t>
      </w:r>
      <w:r>
        <w:rPr>
          <w:rFonts w:hint="eastAsia"/>
          <w:b/>
          <w:color w:val="000000" w:themeColor="text1"/>
          <w:sz w:val="24"/>
          <w:szCs w:val="24"/>
          <w:highlight w:val="none"/>
        </w:rPr>
        <w:t>项，观察项</w:t>
      </w:r>
      <w:r>
        <w:rPr>
          <w:rFonts w:hint="eastAsia"/>
          <w:b/>
          <w:color w:val="000000" w:themeColor="text1"/>
          <w:sz w:val="24"/>
          <w:szCs w:val="24"/>
          <w:highlight w:val="none"/>
          <w:lang w:val="en-US" w:eastAsia="zh-CN"/>
        </w:rPr>
        <w:t>0</w:t>
      </w:r>
      <w:r>
        <w:rPr>
          <w:rFonts w:hint="eastAsia"/>
          <w:b/>
          <w:color w:val="000000" w:themeColor="text1"/>
          <w:sz w:val="24"/>
          <w:szCs w:val="24"/>
          <w:highlight w:val="none"/>
        </w:rPr>
        <w:t>项</w:t>
      </w:r>
      <w:r>
        <w:rPr>
          <w:rFonts w:hint="eastAsia"/>
          <w:b/>
          <w:color w:val="000000" w:themeColor="text1"/>
          <w:sz w:val="24"/>
          <w:szCs w:val="24"/>
          <w:highlight w:val="none"/>
          <w:lang w:eastAsia="zh-CN"/>
        </w:rPr>
        <w:t>，</w:t>
      </w:r>
      <w:r>
        <w:rPr>
          <w:rFonts w:hint="eastAsia"/>
          <w:b/>
          <w:color w:val="000000" w:themeColor="text1"/>
          <w:sz w:val="24"/>
          <w:szCs w:val="24"/>
          <w:highlight w:val="none"/>
          <w:lang w:val="en-US" w:eastAsia="zh-CN"/>
        </w:rPr>
        <w:t>不符合项</w:t>
      </w:r>
      <w:r>
        <w:rPr>
          <w:rFonts w:hint="eastAsia"/>
          <w:b/>
          <w:color w:val="000000" w:themeColor="text1"/>
          <w:sz w:val="24"/>
          <w:szCs w:val="24"/>
          <w:highlight w:val="none"/>
        </w:rPr>
        <w:t>分布在</w:t>
      </w:r>
      <w:r>
        <w:rPr>
          <w:rFonts w:hint="eastAsia"/>
          <w:b/>
          <w:color w:val="000000" w:themeColor="text1"/>
          <w:sz w:val="24"/>
          <w:szCs w:val="24"/>
          <w:highlight w:val="none"/>
          <w:lang w:val="en-US" w:eastAsia="zh-CN"/>
        </w:rPr>
        <w:t>生产</w:t>
      </w:r>
      <w:r>
        <w:rPr>
          <w:rFonts w:hint="eastAsia"/>
          <w:b/>
          <w:color w:val="000000" w:themeColor="text1"/>
          <w:sz w:val="24"/>
          <w:szCs w:val="24"/>
          <w:highlight w:val="none"/>
        </w:rPr>
        <w:t>部门</w:t>
      </w:r>
      <w:r>
        <w:rPr>
          <w:rFonts w:hint="eastAsia"/>
          <w:b/>
          <w:color w:val="000000" w:themeColor="text1"/>
          <w:sz w:val="24"/>
          <w:szCs w:val="24"/>
          <w:highlight w:val="none"/>
          <w:lang w:val="en-US" w:eastAsia="zh-CN"/>
        </w:rPr>
        <w:t>Q7.1.5 2a</w:t>
      </w:r>
      <w:r>
        <w:rPr>
          <w:rFonts w:hint="eastAsia"/>
          <w:b/>
          <w:color w:val="000000" w:themeColor="text1"/>
          <w:sz w:val="24"/>
          <w:szCs w:val="24"/>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rFonts w:ascii="Times New Roman" w:hAnsi="Times New Roman" w:eastAsia="宋体" w:cs="Times New Roman"/>
                <w:b/>
                <w:color w:val="000000" w:themeColor="text1"/>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10080" w:type="dxa"/>
            <w:vAlign w:val="top"/>
          </w:tcPr>
          <w:p>
            <w:pPr>
              <w:rPr>
                <w:b/>
                <w:color w:val="000000" w:themeColor="text1"/>
              </w:rPr>
            </w:pPr>
            <w:r>
              <w:rPr>
                <w:rFonts w:hint="eastAsia"/>
                <w:b/>
                <w:color w:val="000000" w:themeColor="text1"/>
              </w:rPr>
              <w:t>2.对审核范围适宜性结论</w:t>
            </w:r>
          </w:p>
          <w:p>
            <w:pPr>
              <w:ind w:left="-105" w:leftChars="-50"/>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ind w:firstLine="210" w:firstLineChars="100"/>
              <w:rPr>
                <w:rFonts w:hint="eastAsia" w:eastAsia="宋体"/>
                <w:lang w:eastAsia="zh-CN"/>
              </w:rPr>
            </w:pPr>
            <w:r>
              <w:t>Q</w:t>
            </w:r>
            <w:r>
              <w:rPr>
                <w:rFonts w:hint="eastAsia"/>
                <w:lang w:val="en-US" w:eastAsia="zh-CN"/>
              </w:rPr>
              <w:t>MS</w:t>
            </w:r>
            <w:r>
              <w:t>：</w:t>
            </w:r>
            <w:r>
              <w:rPr>
                <w:rFonts w:hint="eastAsia" w:ascii="宋体" w:hAnsi="宋体"/>
                <w:szCs w:val="21"/>
              </w:rPr>
              <w:t>空气质量检测仪的组装</w:t>
            </w:r>
            <w:r>
              <w:rPr>
                <w:rFonts w:hint="eastAsia" w:ascii="宋体" w:hAnsi="宋体"/>
                <w:szCs w:val="21"/>
                <w:lang w:eastAsia="zh-CN"/>
              </w:rPr>
              <w:t>。</w:t>
            </w:r>
          </w:p>
          <w:p>
            <w:pPr>
              <w:ind w:firstLine="210" w:firstLineChars="100"/>
              <w:rPr>
                <w:rFonts w:hint="eastAsia" w:eastAsia="宋体"/>
                <w:lang w:eastAsia="zh-CN"/>
              </w:rPr>
            </w:pPr>
            <w:r>
              <w:t>E</w:t>
            </w:r>
            <w:r>
              <w:rPr>
                <w:rFonts w:hint="eastAsia"/>
                <w:lang w:val="en-US" w:eastAsia="zh-CN"/>
              </w:rPr>
              <w:t>MS</w:t>
            </w:r>
            <w:r>
              <w:t>：</w:t>
            </w:r>
            <w:r>
              <w:rPr>
                <w:rFonts w:hint="eastAsia" w:ascii="宋体" w:hAnsi="宋体"/>
                <w:szCs w:val="21"/>
              </w:rPr>
              <w:t>空气质量检测仪的组装所涉及场所的相关环境管理活动</w:t>
            </w:r>
            <w:r>
              <w:rPr>
                <w:rFonts w:hint="eastAsia" w:ascii="宋体" w:hAnsi="宋体"/>
                <w:szCs w:val="21"/>
                <w:lang w:eastAsia="zh-CN"/>
              </w:rPr>
              <w:t>。</w:t>
            </w:r>
          </w:p>
          <w:p>
            <w:pPr>
              <w:ind w:firstLine="210" w:firstLineChars="100"/>
              <w:rPr>
                <w:rFonts w:ascii="宋体" w:hAnsi="宋体"/>
                <w:szCs w:val="21"/>
              </w:rPr>
            </w:pPr>
            <w:r>
              <w:t>O</w:t>
            </w:r>
            <w:r>
              <w:rPr>
                <w:rFonts w:hint="eastAsia"/>
                <w:lang w:val="en-US" w:eastAsia="zh-CN"/>
              </w:rPr>
              <w:t>HSMS</w:t>
            </w:r>
            <w:r>
              <w:t>：</w:t>
            </w:r>
            <w:r>
              <w:rPr>
                <w:rFonts w:hint="eastAsia" w:ascii="宋体" w:hAnsi="宋体"/>
                <w:szCs w:val="21"/>
              </w:rPr>
              <w:t>空气质量检测仪的组装所涉及场所的相关职业健康安全管理活动。</w:t>
            </w:r>
          </w:p>
          <w:p>
            <w:pPr>
              <w:rPr>
                <w:rFonts w:ascii="Times New Roman" w:hAnsi="Times New Roman" w:eastAsia="宋体" w:cs="Times New Roman"/>
                <w:b/>
                <w:color w:val="000000" w:themeColor="text1"/>
                <w:spacing w:val="-1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rFonts w:ascii="Times New Roman" w:hAnsi="Times New Roman" w:eastAsia="宋体" w:cs="Times New Roman"/>
                <w:b/>
                <w:color w:val="000000" w:themeColor="text1"/>
                <w:spacing w:val="-10"/>
                <w:kern w:val="2"/>
                <w:sz w:val="16"/>
                <w:szCs w:val="16"/>
                <w:lang w:val="en-US" w:eastAsia="zh-CN" w:bidi="ar-SA"/>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ascii="宋体" w:hAnsi="宋体"/>
        </w:rPr>
        <w:drawing>
          <wp:anchor distT="0" distB="0" distL="114300" distR="114300" simplePos="0" relativeHeight="251662336" behindDoc="0" locked="0" layoutInCell="1" allowOverlap="1">
            <wp:simplePos x="0" y="0"/>
            <wp:positionH relativeFrom="page">
              <wp:posOffset>2757170</wp:posOffset>
            </wp:positionH>
            <wp:positionV relativeFrom="page">
              <wp:posOffset>7170420</wp:posOffset>
            </wp:positionV>
            <wp:extent cx="865505" cy="539115"/>
            <wp:effectExtent l="0" t="0" r="3175" b="9525"/>
            <wp:wrapNone/>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pic:cNvPicPr>
                  </pic:nvPicPr>
                  <pic:blipFill>
                    <a:blip r:embed="rId6"/>
                    <a:stretch>
                      <a:fillRect/>
                    </a:stretch>
                  </pic:blipFill>
                  <pic:spPr>
                    <a:xfrm>
                      <a:off x="0" y="0"/>
                      <a:ext cx="865505" cy="53911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2" w:firstLineChars="250"/>
        <w:rPr>
          <w:b/>
          <w:color w:val="000000" w:themeColor="text1"/>
        </w:rPr>
      </w:pPr>
      <w:r>
        <w:rPr>
          <w:rFonts w:hint="eastAsia"/>
          <w:b/>
          <w:sz w:val="22"/>
          <w:szCs w:val="22"/>
        </w:rPr>
        <w:drawing>
          <wp:anchor distT="0" distB="0" distL="114300" distR="114300" simplePos="0" relativeHeight="251665408" behindDoc="0" locked="0" layoutInCell="1" allowOverlap="1">
            <wp:simplePos x="0" y="0"/>
            <wp:positionH relativeFrom="column">
              <wp:posOffset>2360930</wp:posOffset>
            </wp:positionH>
            <wp:positionV relativeFrom="paragraph">
              <wp:posOffset>118110</wp:posOffset>
            </wp:positionV>
            <wp:extent cx="466725" cy="483870"/>
            <wp:effectExtent l="0" t="0" r="5715" b="381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pic:cNvPicPr>
                  </pic:nvPicPr>
                  <pic:blipFill>
                    <a:blip r:embed="rId7"/>
                    <a:stretch>
                      <a:fillRect/>
                    </a:stretch>
                  </pic:blipFill>
                  <pic:spPr>
                    <a:xfrm>
                      <a:off x="0" y="0"/>
                      <a:ext cx="466725" cy="483870"/>
                    </a:xfrm>
                    <a:prstGeom prst="rect">
                      <a:avLst/>
                    </a:prstGeom>
                    <a:noFill/>
                    <a:ln>
                      <a:noFill/>
                    </a:ln>
                  </pic:spPr>
                </pic:pic>
              </a:graphicData>
            </a:graphic>
          </wp:anchor>
        </w:drawing>
      </w:r>
      <w:r>
        <w:rPr>
          <w:rFonts w:hint="eastAsia"/>
          <w:b/>
          <w:sz w:val="22"/>
          <w:szCs w:val="22"/>
        </w:rPr>
        <w:drawing>
          <wp:anchor distT="0" distB="0" distL="114300" distR="114300" simplePos="0" relativeHeight="251664384" behindDoc="0" locked="0" layoutInCell="1" allowOverlap="1">
            <wp:simplePos x="0" y="0"/>
            <wp:positionH relativeFrom="column">
              <wp:posOffset>2946400</wp:posOffset>
            </wp:positionH>
            <wp:positionV relativeFrom="paragraph">
              <wp:posOffset>118745</wp:posOffset>
            </wp:positionV>
            <wp:extent cx="605790" cy="458470"/>
            <wp:effectExtent l="0" t="0" r="3810" b="13970"/>
            <wp:wrapNone/>
            <wp:docPr id="4"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签名.jpg"/>
                    <pic:cNvPicPr>
                      <a:picLocks noChangeAspect="1"/>
                    </pic:cNvPicPr>
                  </pic:nvPicPr>
                  <pic:blipFill>
                    <a:blip r:embed="rId8"/>
                    <a:stretch>
                      <a:fillRect/>
                    </a:stretch>
                  </pic:blipFill>
                  <pic:spPr>
                    <a:xfrm>
                      <a:off x="0" y="0"/>
                      <a:ext cx="605790" cy="45847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1450975</wp:posOffset>
            </wp:positionH>
            <wp:positionV relativeFrom="paragraph">
              <wp:posOffset>142875</wp:posOffset>
            </wp:positionV>
            <wp:extent cx="892175" cy="441960"/>
            <wp:effectExtent l="0" t="0" r="6985" b="0"/>
            <wp:wrapNone/>
            <wp:docPr id="7"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小号"/>
                    <pic:cNvPicPr>
                      <a:picLocks noChangeAspect="1"/>
                    </pic:cNvPicPr>
                  </pic:nvPicPr>
                  <pic:blipFill>
                    <a:blip r:embed="rId9"/>
                    <a:srcRect l="19829" t="27682" r="28673" b="20988"/>
                    <a:stretch>
                      <a:fillRect/>
                    </a:stretch>
                  </pic:blipFill>
                  <pic:spPr>
                    <a:xfrm>
                      <a:off x="0" y="0"/>
                      <a:ext cx="892175" cy="44196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6029" w:firstLineChars="2860"/>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rPr>
        <w:t>十</w:t>
      </w:r>
      <w:r>
        <w:rPr>
          <w:rFonts w:hint="eastAsia"/>
          <w:b/>
          <w:color w:val="000000" w:themeColor="text1"/>
          <w:sz w:val="26"/>
          <w:szCs w:val="26"/>
          <w:highlight w:val="none"/>
        </w:rPr>
        <w:t>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rFonts w:hint="eastAsia"/>
          <w:b/>
          <w:color w:val="000000" w:themeColor="text1"/>
          <w:szCs w:val="21"/>
          <w:highlight w:val="none"/>
        </w:rPr>
      </w:pPr>
      <w:r>
        <w:rPr>
          <w:rFonts w:hint="eastAsia"/>
          <w:b/>
          <w:bCs/>
          <w:color w:val="000000" w:themeColor="text1"/>
          <w:szCs w:val="21"/>
          <w:highlight w:val="none"/>
        </w:rPr>
        <w:t>审核中发现的</w:t>
      </w:r>
      <w:r>
        <w:rPr>
          <w:rFonts w:hint="eastAsia"/>
          <w:b/>
          <w:bCs/>
          <w:color w:val="000000" w:themeColor="text1"/>
          <w:szCs w:val="21"/>
          <w:highlight w:val="none"/>
          <w:lang w:eastAsia="zh-CN"/>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ascii="宋体" w:hAnsi="宋体"/>
        </w:rPr>
        <w:drawing>
          <wp:anchor distT="0" distB="0" distL="114300" distR="114300" simplePos="0" relativeHeight="251663360" behindDoc="0" locked="0" layoutInCell="1" allowOverlap="1">
            <wp:simplePos x="0" y="0"/>
            <wp:positionH relativeFrom="page">
              <wp:posOffset>1871980</wp:posOffset>
            </wp:positionH>
            <wp:positionV relativeFrom="page">
              <wp:posOffset>2668270</wp:posOffset>
            </wp:positionV>
            <wp:extent cx="720090" cy="448310"/>
            <wp:effectExtent l="0" t="0" r="11430" b="8890"/>
            <wp:wrapNone/>
            <wp:docPr id="6"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20-01-09 10.59.53_副本.jpg"/>
                    <pic:cNvPicPr>
                      <a:picLocks noChangeAspect="1"/>
                    </pic:cNvPicPr>
                  </pic:nvPicPr>
                  <pic:blipFill>
                    <a:blip r:embed="rId6"/>
                    <a:stretch>
                      <a:fillRect/>
                    </a:stretch>
                  </pic:blipFill>
                  <pic:spPr>
                    <a:xfrm>
                      <a:off x="0" y="0"/>
                      <a:ext cx="720090" cy="448310"/>
                    </a:xfrm>
                    <a:prstGeom prst="rect">
                      <a:avLst/>
                    </a:prstGeom>
                    <a:noFill/>
                    <a:ln>
                      <a:noFill/>
                    </a:ln>
                  </pic:spPr>
                </pic:pic>
              </a:graphicData>
            </a:graphic>
          </wp:anchor>
        </w:drawing>
      </w:r>
      <w:r>
        <w:rPr>
          <w:rFonts w:hint="eastAsia"/>
          <w:b/>
          <w:color w:val="000000" w:themeColor="text1"/>
          <w:szCs w:val="21"/>
        </w:rPr>
        <w:t xml:space="preserve">组长签字:                               </w:t>
      </w:r>
      <w:bookmarkStart w:id="22" w:name="_GoBack"/>
      <w:bookmarkEnd w:id="22"/>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Bold">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F4C97"/>
    <w:multiLevelType w:val="singleLevel"/>
    <w:tmpl w:val="B02F4C97"/>
    <w:lvl w:ilvl="0" w:tentative="0">
      <w:start w:val="1"/>
      <w:numFmt w:val="decimal"/>
      <w:suff w:val="nothing"/>
      <w:lvlText w:val="%1、"/>
      <w:lvlJc w:val="left"/>
    </w:lvl>
  </w:abstractNum>
  <w:abstractNum w:abstractNumId="1">
    <w:nsid w:val="B57C5C19"/>
    <w:multiLevelType w:val="singleLevel"/>
    <w:tmpl w:val="B57C5C19"/>
    <w:lvl w:ilvl="0" w:tentative="0">
      <w:start w:val="3"/>
      <w:numFmt w:val="decimal"/>
      <w:lvlText w:val="%1."/>
      <w:lvlJc w:val="left"/>
      <w:pPr>
        <w:tabs>
          <w:tab w:val="left" w:pos="312"/>
        </w:tabs>
      </w:pPr>
    </w:lvl>
  </w:abstractNum>
  <w:abstractNum w:abstractNumId="2">
    <w:nsid w:val="DA7BDFAB"/>
    <w:multiLevelType w:val="singleLevel"/>
    <w:tmpl w:val="DA7BDFAB"/>
    <w:lvl w:ilvl="0" w:tentative="0">
      <w:start w:val="2"/>
      <w:numFmt w:val="decimal"/>
      <w:suff w:val="nothing"/>
      <w:lvlText w:val="%1、"/>
      <w:lvlJc w:val="left"/>
    </w:lvl>
  </w:abstractNum>
  <w:abstractNum w:abstractNumId="3">
    <w:nsid w:val="E89D2F20"/>
    <w:multiLevelType w:val="singleLevel"/>
    <w:tmpl w:val="E89D2F20"/>
    <w:lvl w:ilvl="0" w:tentative="0">
      <w:start w:val="2"/>
      <w:numFmt w:val="decimal"/>
      <w:lvlText w:val="%1."/>
      <w:lvlJc w:val="left"/>
      <w:pPr>
        <w:tabs>
          <w:tab w:val="left" w:pos="312"/>
        </w:tabs>
      </w:p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C9686C"/>
    <w:rsid w:val="053A7627"/>
    <w:rsid w:val="262E7716"/>
    <w:rsid w:val="37045FAD"/>
    <w:rsid w:val="3BB6311F"/>
    <w:rsid w:val="428C7D0D"/>
    <w:rsid w:val="49137708"/>
    <w:rsid w:val="68AB4771"/>
    <w:rsid w:val="6BCD56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2021-04-14T06:56:45Z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ECE1F2AAB768469AAD8A6C291F9B32A8</vt:lpwstr>
  </property>
</Properties>
</file>