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08"/>
        <w:gridCol w:w="1045"/>
        <w:gridCol w:w="6"/>
        <w:gridCol w:w="567"/>
        <w:gridCol w:w="1118"/>
        <w:gridCol w:w="124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重庆亿森动力环境科技有限公司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重庆市南川区西城街道办事处白果路16号2幢第2层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任水明</w:t>
            </w:r>
            <w:bookmarkEnd w:id="2"/>
          </w:p>
        </w:tc>
        <w:tc>
          <w:tcPr>
            <w:tcW w:w="10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023-71453888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408402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周立明</w:t>
            </w:r>
          </w:p>
        </w:tc>
        <w:tc>
          <w:tcPr>
            <w:tcW w:w="10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2741698237@qq.com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0303-2021-QEO</w:t>
            </w:r>
            <w:bookmarkEnd w:id="8"/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Q：空气质量检测仪的组装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E：空气质量检测仪的组装所涉及场所的相关环境管理活动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O：空气质量检测仪的组装所涉及场所的相关职业健康安全管理活动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2021年04月14日 上午至2021年04月14日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2021年4月13日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2021年4月13日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人资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8.5.2标识和可追溯性；8.5.4防护；8.5.6更改控制，8.6产品和服务放行；8.7不合格输出的控制；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8.5.3顾客或外部供方的财产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物资采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828A0"/>
    <w:rsid w:val="2D7A4820"/>
    <w:rsid w:val="30AC738B"/>
    <w:rsid w:val="3E7927E7"/>
    <w:rsid w:val="756D5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2021-04-10T13:45:55Z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8256D311BD2D44EC88BB91646495AA86</vt:lpwstr>
  </property>
</Properties>
</file>