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重庆亿森动力环境科技有限公司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Q:19.05.01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产品工艺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流程：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来料检验---装配（结构组件安装、配电单元安装、粉尘模块安装、四气体模块安装、主控模块安装）——调试/测试---终检---包装----入库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按照设备操作手册和安全管理制度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生产过程中使用机械设备、工作环境造成的机械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伤害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触电及经营过程中可存在的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交通事故风险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。通过管理方案和预案进行控制。</w:t>
            </w: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3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固废</w:t>
            </w:r>
            <w:r>
              <w:rPr>
                <w:rFonts w:hint="eastAsia"/>
                <w:sz w:val="20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0"/>
                <w:highlight w:val="none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4"/>
                <w:highlight w:val="none"/>
                <w:lang w:val="en-US" w:eastAsia="zh-CN" w:bidi="ar-SA"/>
              </w:rPr>
              <w:t>火灾，触电、机械伤害、意外伤害事故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4"/>
                <w:highlight w:val="none"/>
                <w:lang w:val="en-US" w:eastAsia="zh-CN" w:bidi="ar-SA"/>
              </w:rPr>
              <w:t>采取制定管理方案控制，潜在火灾采取应急预案并演练方式进行控制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《环境空气颗粒物(PM10和PM2.5)连续自动监测系统技术要求及检测方法》HJ-653-2013、《环境空气气态污染物(SO2、NO2、O3、CO)连续自动监测系统技术要求及检测方法》HJ-654-2013和合同协议等。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检验项目：外观、尺寸、产品性能。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108585</wp:posOffset>
            </wp:positionV>
            <wp:extent cx="654050" cy="409575"/>
            <wp:effectExtent l="0" t="0" r="1270" b="1905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4312920</wp:posOffset>
            </wp:positionH>
            <wp:positionV relativeFrom="paragraph">
              <wp:posOffset>120650</wp:posOffset>
            </wp:positionV>
            <wp:extent cx="654050" cy="409575"/>
            <wp:effectExtent l="0" t="0" r="1270" b="190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1"/>
          <w:szCs w:val="21"/>
          <w:lang w:val="en-US" w:eastAsia="zh-CN"/>
        </w:rPr>
        <w:t>2021.4.13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2021.4.13</w:t>
      </w:r>
      <w:r>
        <w:rPr>
          <w:rFonts w:hint="eastAsia"/>
          <w:b/>
          <w:sz w:val="21"/>
          <w:szCs w:val="21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F21D92"/>
    <w:rsid w:val="1AF61E20"/>
    <w:rsid w:val="37607DF3"/>
    <w:rsid w:val="38F50B86"/>
    <w:rsid w:val="54E15D5F"/>
    <w:rsid w:val="619F5C4D"/>
    <w:rsid w:val="67794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2021-04-14T07:57:57Z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CD35EA05E29042EB8B223BB0CFFD065E</vt:lpwstr>
  </property>
</Properties>
</file>