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质量管理体系：第（2）次监督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协宝（重庆）建材股份有限公司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蔡春鹏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 w:val="0"/>
                <w:sz w:val="22"/>
                <w:szCs w:val="22"/>
                <w:lang w:val="en-US" w:eastAsia="zh-CN"/>
              </w:rPr>
              <w:t>查：供销部于2021年3月30日与</w:t>
            </w:r>
            <w:r>
              <w:rPr>
                <w:rFonts w:hint="eastAsia" w:ascii="Times New Roman" w:hAnsi="Times New Roman" w:cs="Times New Roman"/>
                <w:b/>
                <w:bCs w:val="0"/>
                <w:szCs w:val="22"/>
                <w:lang w:val="en-US" w:eastAsia="zh-CN"/>
              </w:rPr>
              <w:t>菲比克（徐州）包装材料制品有限公司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lang w:val="en-US" w:eastAsia="zh-CN"/>
              </w:rPr>
              <w:t>签订的</w:t>
            </w:r>
            <w:r>
              <w:rPr>
                <w:rFonts w:hint="eastAsia" w:ascii="Times New Roman" w:hAnsi="Times New Roman" w:cs="Times New Roman"/>
                <w:b/>
                <w:bCs w:val="0"/>
                <w:szCs w:val="22"/>
                <w:lang w:val="en-US" w:eastAsia="zh-CN"/>
              </w:rPr>
              <w:t>软吨包袋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lang w:val="en-US" w:eastAsia="zh-CN"/>
              </w:rPr>
              <w:t>（规格100*120*160、数量100条）购买合同，未能提供</w:t>
            </w:r>
            <w:r>
              <w:rPr>
                <w:rFonts w:hint="eastAsia" w:ascii="Times New Roman" w:hAnsi="Times New Roman" w:cs="Times New Roman"/>
                <w:b/>
                <w:bCs w:val="0"/>
                <w:szCs w:val="22"/>
                <w:lang w:val="en-US" w:eastAsia="zh-CN"/>
              </w:rPr>
              <w:t>菲比克（徐州）包装材料制品有限公司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lang w:val="en-US" w:eastAsia="zh-CN"/>
              </w:rPr>
              <w:t>供方评价资料。</w:t>
            </w:r>
            <w:r>
              <w:rPr>
                <w:rFonts w:hAnsi="宋体"/>
                <w:b/>
                <w:bCs w:val="0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bCs w:val="0"/>
                <w:sz w:val="22"/>
                <w:szCs w:val="22"/>
              </w:rPr>
              <w:t>事实</w:t>
            </w:r>
            <w:r>
              <w:rPr>
                <w:rFonts w:hAnsi="宋体"/>
                <w:b/>
                <w:bCs w:val="0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bCs w:val="0"/>
                <w:sz w:val="20"/>
              </w:rPr>
              <w:t>：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</w:rPr>
              <w:t xml:space="preserve"> GB/T 19001:2016标准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lang w:val="en-US" w:eastAsia="zh-CN"/>
              </w:rPr>
              <w:t>.1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/>
                <w:b/>
                <w:bCs w:val="0"/>
                <w:sz w:val="22"/>
                <w:szCs w:val="22"/>
                <w:lang w:val="en-US" w:eastAsia="zh-CN"/>
              </w:rPr>
              <w:t>组织应基于外部供方按照提供过程、产品和服务的能力，确定并实施对外部供方的评价，选择，绩效监视以及再评价的准则。对于这些活动和由评价引发的任何必要的措施，组织应保留成文信息”的要求。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  <w:lang w:eastAsia="zh-CN"/>
              </w:rPr>
            </w:pP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2520950</wp:posOffset>
                  </wp:positionH>
                  <wp:positionV relativeFrom="paragraph">
                    <wp:posOffset>88900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45720</wp:posOffset>
                  </wp:positionV>
                  <wp:extent cx="548640" cy="273685"/>
                  <wp:effectExtent l="0" t="0" r="0" b="635"/>
                  <wp:wrapNone/>
                  <wp:docPr id="14" name="图片 14" descr="cd23edb0d814701504dd7deb97d79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cd23edb0d814701504dd7deb97d797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377" t="24118" r="4335" b="17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2021.4.15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C04163"/>
    <w:rsid w:val="63096D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2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2021-04-15T06:01:12Z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30DC08DD725141CDAE589CBD6B418DE9</vt:lpwstr>
  </property>
</Properties>
</file>