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0300-2021-EO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协宝（重庆）建材股份有限公司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E:16.02.04</w:t>
            </w:r>
          </w:p>
          <w:p>
            <w:pPr>
              <w:spacing w:line="240" w:lineRule="exact"/>
              <w:jc w:val="center"/>
              <w:rPr>
                <w:b/>
                <w:color w:val="000000"/>
                <w:sz w:val="20"/>
                <w:szCs w:val="20"/>
              </w:rPr>
            </w:pPr>
            <w:r>
              <w:rPr>
                <w:b/>
                <w:color w:val="000000"/>
                <w:sz w:val="20"/>
                <w:szCs w:val="20"/>
              </w:rP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-201</w:t>
      </w:r>
      <w:r>
        <w:rPr>
          <w:rFonts w:hint="eastAsia" w:ascii="宋体" w:hAnsi="宋体"/>
          <w:b/>
          <w:color w:val="000000"/>
          <w:sz w:val="20"/>
          <w:szCs w:val="20"/>
          <w:lang w:val="en-US" w:eastAsia="zh-CN"/>
        </w:rPr>
        <w:t>8</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协宝（重庆）建材股份有限公司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重庆市江津区白沙工业园D-26</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重庆市江津区白沙工业园D-26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蔡春鹏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18523978888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林亚聪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蔡春鹏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E：水泥基灌浆、压浆材料的加工所涉及场所的相关环境管理活动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O：水泥基灌浆、压浆材料的加工所涉及场所的相关职业健康安全管理活动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E：16.02.04</w:t>
            </w:r>
          </w:p>
          <w:p>
            <w:pPr>
              <w:spacing w:line="280" w:lineRule="exact"/>
              <w:rPr>
                <w:rFonts w:ascii="宋体"/>
                <w:b/>
                <w:color w:val="000000"/>
                <w:sz w:val="20"/>
                <w:szCs w:val="20"/>
              </w:rPr>
            </w:pPr>
            <w:r>
              <w:rPr>
                <w:rFonts w:ascii="宋体"/>
                <w:b/>
                <w:color w:val="000000"/>
                <w:sz w:val="20"/>
                <w:szCs w:val="20"/>
              </w:rPr>
              <w:t>O：16.02.04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管理手册、程序文件、内审报告、管理评审等。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综合部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 xml:space="preserve">供销部 、生技部 </w:t>
      </w:r>
      <w:r>
        <w:rPr>
          <w:rFonts w:hint="eastAsia" w:ascii="宋体" w:hAnsi="宋体" w:eastAsia="宋体" w:cs="Times New Roman"/>
          <w:b/>
          <w:color w:val="000000"/>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w:t>
      </w:r>
      <w:bookmarkStart w:id="24" w:name="生产地址"/>
      <w:r>
        <w:rPr>
          <w:rFonts w:hint="eastAsia" w:ascii="宋体" w:hAnsi="宋体" w:eastAsia="宋体" w:cs="Times New Roman"/>
          <w:b/>
          <w:color w:val="000000"/>
          <w:sz w:val="20"/>
          <w:szCs w:val="20"/>
          <w:lang w:val="en-US" w:eastAsia="zh-CN"/>
        </w:rPr>
        <w:t>重庆市江津区白沙工业园D-26</w:t>
      </w:r>
      <w:bookmarkEnd w:id="24"/>
      <w:r>
        <w:rPr>
          <w:rFonts w:hint="eastAsia" w:ascii="宋体" w:hAnsi="宋体" w:eastAsia="宋体" w:cs="Times New Roman"/>
          <w:b/>
          <w:color w:val="000000"/>
          <w:sz w:val="20"/>
          <w:szCs w:val="20"/>
          <w:lang w:val="en-US"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szCs w:val="21"/>
              </w:rPr>
              <w:t>水泥基灌浆、压浆材料的加工</w:t>
            </w:r>
            <w:r>
              <w:rPr>
                <w:rFonts w:hint="eastAsia" w:ascii="宋体" w:hAnsi="宋体"/>
                <w:szCs w:val="21"/>
                <w:lang w:eastAsia="zh-CN"/>
              </w:rPr>
              <w:t>。</w:t>
            </w:r>
          </w:p>
          <w:p>
            <w:pPr>
              <w:widowControl/>
              <w:jc w:val="left"/>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综合部、供销部 、生技部、财务部。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w:t>
            </w:r>
            <w:r>
              <w:rPr>
                <w:rFonts w:hint="eastAsia" w:ascii="宋体" w:hAnsi="宋体"/>
                <w:b/>
                <w:color w:val="000000"/>
                <w:sz w:val="20"/>
                <w:szCs w:val="20"/>
                <w:lang w:val="en-US" w:eastAsia="zh-CN"/>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lang w:val="en-US" w:eastAsia="zh-CN"/>
              </w:rPr>
              <w:t>生技部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w:t>
            </w:r>
            <w:r>
              <w:rPr>
                <w:rFonts w:hint="eastAsia" w:ascii="宋体" w:hAnsi="宋体"/>
                <w:b/>
                <w:color w:val="000000"/>
                <w:sz w:val="20"/>
                <w:szCs w:val="20"/>
                <w:lang w:val="en-US" w:eastAsia="zh-CN"/>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w:t>
            </w:r>
            <w:r>
              <w:rPr>
                <w:rFonts w:hint="eastAsia" w:ascii="宋体" w:hAnsi="宋体"/>
                <w:b/>
                <w:color w:val="000000"/>
                <w:sz w:val="20"/>
                <w:szCs w:val="20"/>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重庆市江津区白沙工业园D-26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r>
              <w:t>重庆市江津区白沙工业园D-26</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w:t>
            </w:r>
            <w:r>
              <w:rPr>
                <w:rFonts w:hint="eastAsia" w:ascii="宋体" w:hAnsi="宋体"/>
                <w:color w:val="auto"/>
                <w:sz w:val="20"/>
                <w:szCs w:val="20"/>
                <w:highlight w:val="none"/>
              </w:rPr>
              <w:t>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租用办公用房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hAnsi="宋体"/>
                <w:szCs w:val="21"/>
              </w:rPr>
            </w:pP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污水</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标准》（GB</w:t>
            </w:r>
            <w:r>
              <w:rPr>
                <w:rFonts w:hint="eastAsia" w:ascii="宋体" w:hAnsi="宋体"/>
                <w:color w:val="000000" w:themeColor="text1"/>
                <w:szCs w:val="21"/>
                <w:highlight w:val="none"/>
                <w:lang w:val="en-US" w:eastAsia="zh-CN"/>
              </w:rPr>
              <w:t>8978-1996</w:t>
            </w:r>
            <w:r>
              <w:rPr>
                <w:rFonts w:hint="eastAsia" w:ascii="宋体" w:hAnsi="宋体"/>
                <w:color w:val="000000" w:themeColor="text1"/>
                <w:szCs w:val="21"/>
                <w:highlight w:val="none"/>
              </w:rPr>
              <w:t>）表</w:t>
            </w:r>
            <w:r>
              <w:rPr>
                <w:rFonts w:hint="eastAsia" w:ascii="宋体" w:hAnsi="宋体"/>
                <w:color w:val="000000" w:themeColor="text1"/>
                <w:szCs w:val="21"/>
                <w:highlight w:val="none"/>
                <w:lang w:val="en-US" w:eastAsia="zh-CN"/>
              </w:rPr>
              <w:t>4三级标准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《水泥工业大气污染物排放标准》GB4915-2013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工业企业厂界环境噪声排放标准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（GB12348-2008）</w:t>
            </w:r>
            <w:r>
              <w:rPr>
                <w:rFonts w:hint="eastAsia" w:ascii="宋体" w:hAnsi="宋体"/>
                <w:color w:val="000000" w:themeColor="text1"/>
                <w:szCs w:val="21"/>
                <w:highlight w:val="none"/>
                <w:lang w:val="en-US" w:eastAsia="zh-CN"/>
              </w:rPr>
              <w:t>中3</w:t>
            </w:r>
            <w:r>
              <w:rPr>
                <w:rFonts w:hint="eastAsia" w:ascii="宋体" w:hAnsi="宋体"/>
                <w:color w:val="000000" w:themeColor="text1"/>
                <w:szCs w:val="21"/>
                <w:highlight w:val="none"/>
              </w:rPr>
              <w:t>类</w:t>
            </w:r>
            <w:r>
              <w:rPr>
                <w:rFonts w:hint="eastAsia" w:ascii="宋体" w:hAnsi="宋体"/>
                <w:color w:val="000000" w:themeColor="text1"/>
                <w:szCs w:val="21"/>
                <w:highlight w:val="none"/>
                <w:lang w:val="en-US" w:eastAsia="zh-CN"/>
              </w:rPr>
              <w:t>标准;《一般工业固体废物贮存，处置场污染控制标准》GB18599-2001。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highlight w:val="none"/>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highlight w:val="none"/>
              </w:rPr>
            </w:pPr>
            <w:r>
              <w:rPr>
                <w:rFonts w:hint="eastAsia" w:ascii="宋体"/>
                <w:color w:val="auto"/>
                <w:sz w:val="20"/>
                <w:szCs w:val="20"/>
                <w:highlight w:val="none"/>
              </w:rPr>
              <w:t>是否申报职业危害场所</w:t>
            </w:r>
            <w:r>
              <w:rPr>
                <w:rFonts w:hint="eastAsia" w:ascii="宋体"/>
                <w:color w:val="auto"/>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eastAsia="宋体"/>
                <w:sz w:val="21"/>
                <w:szCs w:val="21"/>
                <w:lang w:eastAsia="zh-CN"/>
              </w:rPr>
            </w:pPr>
            <w:r>
              <w:rPr>
                <w:rFonts w:hint="eastAsia" w:ascii="宋体" w:hAnsi="宋体"/>
                <w:sz w:val="21"/>
                <w:szCs w:val="21"/>
              </w:rPr>
              <w:t>产品流程</w:t>
            </w:r>
            <w:r>
              <w:rPr>
                <w:rFonts w:hint="eastAsia" w:ascii="宋体" w:hAnsi="宋体"/>
                <w:sz w:val="21"/>
                <w:szCs w:val="21"/>
                <w:lang w:eastAsia="zh-CN"/>
              </w:rPr>
              <w:t>：</w:t>
            </w:r>
          </w:p>
          <w:p>
            <w:pPr>
              <w:widowControl/>
              <w:spacing w:line="400" w:lineRule="exact"/>
              <w:rPr>
                <w:rFonts w:hint="eastAsia" w:ascii="宋体" w:eastAsia="宋体"/>
                <w:color w:val="000000"/>
                <w:sz w:val="20"/>
                <w:szCs w:val="20"/>
                <w:lang w:eastAsia="zh-CN"/>
              </w:rPr>
            </w:pPr>
            <w:r>
              <w:rPr>
                <w:rFonts w:hint="eastAsia" w:ascii="宋体" w:hAnsi="宋体"/>
                <w:sz w:val="21"/>
                <w:szCs w:val="21"/>
              </w:rPr>
              <w:t>配料—混合—成品包装—抽样检验—成品入库</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s="宋体"/>
                <w:sz w:val="21"/>
                <w:szCs w:val="21"/>
              </w:rPr>
              <w:t>干粉砂浆全自动生产线、水泥胶砂搅拌机</w:t>
            </w:r>
            <w:r>
              <w:rPr>
                <w:rFonts w:hint="eastAsia" w:ascii="宋体" w:hAnsi="宋体" w:cs="宋体"/>
                <w:szCs w:val="21"/>
              </w:rPr>
              <w:t>和办公设备等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w:t>
            </w:r>
            <w:r>
              <w:rPr>
                <w:rFonts w:hint="eastAsia" w:ascii="宋体" w:hAnsi="宋体"/>
                <w:sz w:val="21"/>
                <w:szCs w:val="21"/>
              </w:rPr>
              <w:t>有电子秤、电子天平、压力试验机、抗折试验机、水泥稠度凝结测定仪、压力秘水率测定仪等</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240" w:lineRule="auto"/>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w:t>
            </w:r>
            <w:r>
              <w:rPr>
                <w:rFonts w:hint="eastAsia" w:ascii="Times New Roman" w:hAnsi="Times New Roman" w:eastAsia="宋体" w:cs="Times New Roman"/>
                <w:szCs w:val="21"/>
                <w:highlight w:val="none"/>
              </w:rPr>
              <w:t>1）</w:t>
            </w:r>
            <w:r>
              <w:rPr>
                <w:rFonts w:hint="eastAsia" w:ascii="Times New Roman" w:hAnsi="Times New Roman" w:eastAsia="宋体" w:cs="Times New Roman"/>
                <w:szCs w:val="22"/>
                <w:highlight w:val="none"/>
                <w:lang w:val="en-US" w:eastAsia="zh-CN"/>
              </w:rPr>
              <w:t>潜在火灾</w:t>
            </w:r>
            <w:r>
              <w:rPr>
                <w:rFonts w:hint="eastAsia" w:ascii="Times New Roman" w:hAnsi="Times New Roman" w:eastAsia="宋体" w:cs="Times New Roman"/>
                <w:szCs w:val="21"/>
                <w:highlight w:val="none"/>
              </w:rPr>
              <w:t>；2）</w:t>
            </w:r>
            <w:r>
              <w:rPr>
                <w:rFonts w:hint="eastAsia" w:ascii="Times New Roman" w:hAnsi="Times New Roman" w:eastAsia="宋体" w:cs="Times New Roman"/>
                <w:szCs w:val="22"/>
                <w:highlight w:val="none"/>
                <w:lang w:val="en-US" w:eastAsia="zh-CN"/>
              </w:rPr>
              <w:t>固废</w:t>
            </w:r>
            <w:r>
              <w:rPr>
                <w:rFonts w:hint="eastAsia" w:cs="Times New Roman"/>
                <w:szCs w:val="22"/>
                <w:highlight w:val="none"/>
                <w:lang w:val="en-US" w:eastAsia="zh-CN"/>
              </w:rPr>
              <w:t>（含危废）</w:t>
            </w:r>
            <w:r>
              <w:rPr>
                <w:rFonts w:hint="eastAsia" w:ascii="Times New Roman" w:hAnsi="Times New Roman" w:eastAsia="宋体" w:cs="Times New Roman"/>
                <w:szCs w:val="22"/>
                <w:highlight w:val="none"/>
                <w:lang w:val="en-US" w:eastAsia="zh-CN"/>
              </w:rPr>
              <w:t>排放</w:t>
            </w:r>
            <w:r>
              <w:rPr>
                <w:rFonts w:hint="eastAsia" w:cs="Times New Roman"/>
                <w:szCs w:val="22"/>
                <w:highlight w:val="none"/>
                <w:lang w:val="en-US" w:eastAsia="zh-CN"/>
              </w:rPr>
              <w:t>；3）粉尘排放；4）噪声排放</w:t>
            </w:r>
            <w:r>
              <w:rPr>
                <w:rFonts w:hint="eastAsia" w:ascii="Times New Roman" w:hAnsi="Times New Roman"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lang w:val="en-US" w:eastAsia="zh-CN"/>
              </w:rPr>
              <w:t>消防</w:t>
            </w:r>
            <w:r>
              <w:rPr>
                <w:rFonts w:hint="eastAsia" w:ascii="宋体"/>
                <w:color w:val="000000"/>
                <w:sz w:val="20"/>
                <w:szCs w:val="20"/>
                <w:highlight w:val="none"/>
              </w:rPr>
              <w:t>应急预案，触电应急预案</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高温中暑应急预案等</w:t>
            </w:r>
            <w:r>
              <w:rPr>
                <w:rFonts w:hint="eastAsia" w:ascii="宋体"/>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spacing w:line="240" w:lineRule="auto"/>
              <w:rPr>
                <w:rFonts w:ascii="宋体"/>
                <w:color w:val="000000"/>
                <w:sz w:val="20"/>
                <w:szCs w:val="20"/>
              </w:rPr>
            </w:pPr>
            <w:r>
              <w:rPr>
                <w:rFonts w:hint="eastAsia" w:ascii="宋体"/>
                <w:color w:val="000000"/>
                <w:sz w:val="20"/>
                <w:szCs w:val="20"/>
              </w:rPr>
              <w:t>不可接受风险</w:t>
            </w:r>
            <w:r>
              <w:rPr>
                <w:rFonts w:hint="eastAsia" w:ascii="宋体"/>
                <w:color w:val="000000"/>
                <w:sz w:val="20"/>
                <w:szCs w:val="20"/>
                <w:highlight w:val="none"/>
              </w:rPr>
              <w:t>有：</w:t>
            </w:r>
            <w:r>
              <w:rPr>
                <w:rFonts w:hint="eastAsia" w:ascii="Times New Roman" w:hAnsi="Times New Roman" w:eastAsia="宋体" w:cs="Times New Roman"/>
                <w:szCs w:val="22"/>
                <w:highlight w:val="none"/>
                <w:lang w:val="en-US" w:eastAsia="zh-CN"/>
              </w:rPr>
              <w:t>1）火灾；2）触电</w:t>
            </w:r>
            <w:r>
              <w:rPr>
                <w:rFonts w:hint="eastAsia" w:cs="Times New Roman"/>
                <w:szCs w:val="22"/>
                <w:highlight w:val="none"/>
                <w:lang w:val="en-US" w:eastAsia="zh-CN"/>
              </w:rPr>
              <w:t>；3）机械伤害；4）高处坠落；5）职业病（粉尘、噪声）</w:t>
            </w:r>
            <w:r>
              <w:rPr>
                <w:rFonts w:hint="eastAsia" w:ascii="Times New Roman" w:hAnsi="Times New Roman"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综合部、供销部 、生技部</w:t>
            </w:r>
            <w:r>
              <w:rPr>
                <w:rFonts w:hint="eastAsia"/>
                <w:sz w:val="24"/>
                <w:szCs w:val="24"/>
                <w:lang w:val="en-US" w:eastAsia="zh-CN"/>
              </w:rPr>
              <w:t xml:space="preserve"> </w:t>
            </w:r>
          </w:p>
          <w:p>
            <w:pPr>
              <w:spacing w:line="260" w:lineRule="exact"/>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val="en-US"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综合部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 xml:space="preserve">供销部 、生技部 </w:t>
            </w:r>
          </w:p>
          <w:p>
            <w:pPr>
              <w:spacing w:line="260" w:lineRule="exact"/>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val="en-US" w:eastAsia="zh-CN"/>
              </w:rPr>
              <w:t>生产</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Times New Roman" w:hAnsi="Times New Roman" w:eastAsia="宋体" w:cs="Times New Roman"/>
                <w:szCs w:val="22"/>
                <w:highlight w:val="none"/>
              </w:rPr>
              <w:t>202</w:t>
            </w:r>
            <w:r>
              <w:rPr>
                <w:rFonts w:hint="eastAsia" w:ascii="Times New Roman" w:hAnsi="Times New Roman" w:eastAsia="宋体" w:cs="Times New Roman"/>
                <w:szCs w:val="22"/>
                <w:highlight w:val="none"/>
                <w:lang w:val="en-US" w:eastAsia="zh-CN"/>
              </w:rPr>
              <w:t>1</w:t>
            </w:r>
            <w:r>
              <w:rPr>
                <w:rFonts w:hint="eastAsia" w:ascii="Times New Roman" w:hAnsi="Times New Roman" w:eastAsia="宋体" w:cs="Times New Roman"/>
                <w:szCs w:val="22"/>
                <w:highlight w:val="none"/>
              </w:rPr>
              <w:t>年</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rPr>
              <w:t>月</w:t>
            </w:r>
            <w:r>
              <w:rPr>
                <w:rFonts w:hint="eastAsia" w:ascii="Times New Roman" w:hAnsi="Times New Roman" w:eastAsia="宋体" w:cs="Times New Roman"/>
                <w:szCs w:val="22"/>
                <w:highlight w:val="none"/>
                <w:lang w:val="en-US" w:eastAsia="zh-CN"/>
              </w:rPr>
              <w:t>1</w:t>
            </w:r>
            <w:r>
              <w:rPr>
                <w:rFonts w:hint="eastAsia" w:ascii="Times New Roman" w:hAnsi="Times New Roman" w:eastAsia="宋体" w:cs="Times New Roman"/>
                <w:szCs w:val="22"/>
                <w:highlight w:val="none"/>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rPr>
              <w:t>吴华桂（组长）、张时友（组员）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eastAsia="宋体" w:cs="Times New Roman"/>
                <w:szCs w:val="21"/>
              </w:rPr>
              <w:t>于202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eastAsia="宋体" w:cs="Times New Roman"/>
          <w:b/>
          <w:color w:val="000000"/>
          <w:sz w:val="20"/>
          <w:szCs w:val="20"/>
        </w:rPr>
      </w:pPr>
      <w:r>
        <w:rPr>
          <w:rFonts w:hint="eastAsia" w:ascii="宋体" w:hAnsi="宋体" w:eastAsia="宋体" w:cs="Times New Roman"/>
          <w:b/>
          <w:color w:val="000000"/>
          <w:sz w:val="20"/>
          <w:szCs w:val="20"/>
        </w:rPr>
        <w:t>EMS: 水泥基灌浆、压浆材料的加工所涉及场所的相关环境管理活动。</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OHSMS:水泥基灌浆、压浆材料的加工所涉及场所的相关职业健康安全管理活动。</w:t>
      </w: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1823720</wp:posOffset>
            </wp:positionH>
            <wp:positionV relativeFrom="paragraph">
              <wp:posOffset>263525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2858770</wp:posOffset>
            </wp:positionH>
            <wp:positionV relativeFrom="paragraph">
              <wp:posOffset>60960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1837690</wp:posOffset>
            </wp:positionH>
            <wp:positionV relativeFrom="paragraph">
              <wp:posOffset>81915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2451100</wp:posOffset>
            </wp:positionH>
            <wp:positionV relativeFrom="paragraph">
              <wp:posOffset>158750</wp:posOffset>
            </wp:positionV>
            <wp:extent cx="587375" cy="394970"/>
            <wp:effectExtent l="0" t="0" r="6985" b="1270"/>
            <wp:wrapNone/>
            <wp:docPr id="1"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c6bc8d82232cd8bc6519fc4dcd21ee2"/>
                    <pic:cNvPicPr>
                      <a:picLocks noChangeAspect="1"/>
                    </pic:cNvPicPr>
                  </pic:nvPicPr>
                  <pic:blipFill>
                    <a:blip r:embed="rId9"/>
                    <a:stretch>
                      <a:fillRect/>
                    </a:stretch>
                  </pic:blipFill>
                  <pic:spPr>
                    <a:xfrm>
                      <a:off x="0" y="0"/>
                      <a:ext cx="587375" cy="394970"/>
                    </a:xfrm>
                    <a:prstGeom prst="rect">
                      <a:avLst/>
                    </a:prstGeom>
                    <a:noFill/>
                    <a:ln>
                      <a:noFill/>
                    </a:ln>
                  </pic:spPr>
                </pic:pic>
              </a:graphicData>
            </a:graphic>
          </wp:anchor>
        </w:drawing>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4.11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hAnsi="宋体" w:cs="宋体"/>
          <w:sz w:val="24"/>
          <w:szCs w:val="24"/>
          <w:highlight w:val="none"/>
          <w:lang w:eastAsia="zh-CN"/>
        </w:rPr>
        <w:t>协宝（重庆）建材股份有限公司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567690</wp:posOffset>
                  </wp:positionH>
                  <wp:positionV relativeFrom="paragraph">
                    <wp:posOffset>156210</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w:t>
            </w:r>
            <w:r>
              <w:rPr>
                <w:rFonts w:hint="eastAsia"/>
                <w:b/>
                <w:color w:val="000000"/>
                <w:sz w:val="22"/>
                <w:szCs w:val="22"/>
                <w:lang w:val="en-US" w:eastAsia="zh-CN"/>
              </w:rPr>
              <w:t>11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吴华桂</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w:t>
            </w:r>
            <w:r>
              <w:rPr>
                <w:rFonts w:hint="eastAsia"/>
                <w:b/>
                <w:color w:val="000000"/>
                <w:sz w:val="22"/>
                <w:szCs w:val="22"/>
                <w:lang w:val="en-US" w:eastAsia="zh-CN"/>
              </w:rPr>
              <w:t>11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568325</wp:posOffset>
                  </wp:positionH>
                  <wp:positionV relativeFrom="paragraph">
                    <wp:posOffset>66040</wp:posOffset>
                  </wp:positionV>
                  <wp:extent cx="713740" cy="395605"/>
                  <wp:effectExtent l="0" t="0" r="2540" b="63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1587"/>
                          <a:stretch>
                            <a:fillRect/>
                          </a:stretch>
                        </pic:blipFill>
                        <pic:spPr>
                          <a:xfrm>
                            <a:off x="0" y="0"/>
                            <a:ext cx="713740" cy="39560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 xml:space="preserve"> 月</w:t>
            </w:r>
            <w:r>
              <w:rPr>
                <w:rFonts w:hint="eastAsia"/>
                <w:b/>
                <w:color w:val="000000"/>
                <w:sz w:val="22"/>
                <w:szCs w:val="22"/>
                <w:lang w:val="en-US" w:eastAsia="zh-CN"/>
              </w:rPr>
              <w:t>11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13D87"/>
    <w:rsid w:val="0EF6668E"/>
    <w:rsid w:val="22A34507"/>
    <w:rsid w:val="268A06BD"/>
    <w:rsid w:val="33E5033D"/>
    <w:rsid w:val="46E743F6"/>
    <w:rsid w:val="51307386"/>
    <w:rsid w:val="6F616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2021-04-15T07:40:03Z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18448D1876B146C9B94C82E0DE571769</vt:lpwstr>
  </property>
</Properties>
</file>