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E5" w:rsidRDefault="00E6465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024"/>
        <w:gridCol w:w="110"/>
        <w:gridCol w:w="1165"/>
        <w:gridCol w:w="394"/>
        <w:gridCol w:w="567"/>
        <w:gridCol w:w="882"/>
        <w:gridCol w:w="536"/>
        <w:gridCol w:w="173"/>
        <w:gridCol w:w="677"/>
        <w:gridCol w:w="425"/>
        <w:gridCol w:w="1229"/>
      </w:tblGrid>
      <w:tr w:rsidR="00DD013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都昌县文明珍珠养殖有限公司</w:t>
            </w:r>
            <w:bookmarkEnd w:id="0"/>
          </w:p>
        </w:tc>
      </w:tr>
      <w:tr w:rsidR="00DD013C" w:rsidTr="000E26C9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83" w:type="dxa"/>
            <w:gridSpan w:val="4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0275-2021-Q</w:t>
            </w:r>
            <w:bookmarkEnd w:id="1"/>
          </w:p>
        </w:tc>
        <w:tc>
          <w:tcPr>
            <w:tcW w:w="1669" w:type="dxa"/>
            <w:gridSpan w:val="3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D013C" w:rsidTr="00FE1513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83" w:type="dxa"/>
            <w:gridSpan w:val="4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曹玉琴</w:t>
            </w:r>
            <w:bookmarkEnd w:id="5"/>
          </w:p>
        </w:tc>
        <w:tc>
          <w:tcPr>
            <w:tcW w:w="1669" w:type="dxa"/>
            <w:gridSpan w:val="3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13155704999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31" w:type="dxa"/>
            <w:gridSpan w:val="3"/>
            <w:vMerge w:val="restart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1270185798@qq.com</w:t>
            </w:r>
            <w:bookmarkEnd w:id="7"/>
          </w:p>
        </w:tc>
      </w:tr>
      <w:tr w:rsidR="00DD013C" w:rsidTr="00FE1513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4658">
            <w:r>
              <w:rPr>
                <w:rFonts w:hint="eastAsia"/>
              </w:rPr>
              <w:t>最高管理者</w:t>
            </w:r>
          </w:p>
        </w:tc>
        <w:tc>
          <w:tcPr>
            <w:tcW w:w="2583" w:type="dxa"/>
            <w:gridSpan w:val="4"/>
            <w:vAlign w:val="center"/>
          </w:tcPr>
          <w:p w:rsidR="004A38E5" w:rsidRDefault="008476D6">
            <w:bookmarkStart w:id="8" w:name="最高管理者"/>
            <w:bookmarkEnd w:id="8"/>
          </w:p>
        </w:tc>
        <w:tc>
          <w:tcPr>
            <w:tcW w:w="1669" w:type="dxa"/>
            <w:gridSpan w:val="3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8476D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476D6"/>
        </w:tc>
        <w:tc>
          <w:tcPr>
            <w:tcW w:w="2331" w:type="dxa"/>
            <w:gridSpan w:val="3"/>
            <w:vMerge/>
            <w:vAlign w:val="center"/>
          </w:tcPr>
          <w:p w:rsidR="004A38E5" w:rsidRDefault="008476D6"/>
        </w:tc>
      </w:tr>
      <w:tr w:rsidR="00DD013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465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E6465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6465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64658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D013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465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E64658">
            <w:bookmarkStart w:id="10" w:name="审核范围"/>
            <w:r>
              <w:t>淡水湖珍珠养殖及初加工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64658">
            <w:r>
              <w:rPr>
                <w:rFonts w:hint="eastAsia"/>
              </w:rPr>
              <w:t>专业</w:t>
            </w:r>
          </w:p>
          <w:p w:rsidR="004A38E5" w:rsidRDefault="00E6465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64658">
            <w:bookmarkStart w:id="11" w:name="专业代码"/>
            <w:r>
              <w:t>01.13.02;03.02.00</w:t>
            </w:r>
            <w:bookmarkEnd w:id="11"/>
          </w:p>
        </w:tc>
      </w:tr>
      <w:tr w:rsidR="00DD013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465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E6465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DD013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465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E6465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D013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6465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104B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0D1BCE"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 w:rsidR="00E64658">
              <w:rPr>
                <w:rFonts w:hint="eastAsia"/>
                <w:b/>
                <w:sz w:val="21"/>
                <w:szCs w:val="21"/>
              </w:rPr>
              <w:t>普通话</w:t>
            </w:r>
            <w:r w:rsidR="00E6465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64658">
              <w:rPr>
                <w:rFonts w:hint="eastAsia"/>
                <w:b/>
                <w:sz w:val="21"/>
                <w:szCs w:val="21"/>
              </w:rPr>
              <w:t>英语</w:t>
            </w:r>
            <w:r w:rsidR="00E6465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6465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D013C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E6465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1216B" w:rsidTr="00FE151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73" w:type="dxa"/>
            <w:gridSpan w:val="2"/>
            <w:vAlign w:val="center"/>
          </w:tcPr>
          <w:p w:rsidR="0001216B" w:rsidRDefault="0001216B" w:rsidP="00012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</w:t>
            </w:r>
            <w:r>
              <w:rPr>
                <w:sz w:val="21"/>
                <w:szCs w:val="21"/>
              </w:rPr>
              <w:t>书号</w:t>
            </w:r>
          </w:p>
        </w:tc>
        <w:tc>
          <w:tcPr>
            <w:tcW w:w="1275" w:type="dxa"/>
            <w:gridSpan w:val="2"/>
            <w:vAlign w:val="center"/>
          </w:tcPr>
          <w:p w:rsidR="0001216B" w:rsidRDefault="000E26C9" w:rsidP="00012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1843" w:type="dxa"/>
            <w:gridSpan w:val="3"/>
            <w:vAlign w:val="center"/>
          </w:tcPr>
          <w:p w:rsidR="0001216B" w:rsidRDefault="0001216B" w:rsidP="00012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11" w:type="dxa"/>
            <w:gridSpan w:val="4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1216B" w:rsidTr="00FE151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73" w:type="dxa"/>
            <w:gridSpan w:val="2"/>
            <w:vAlign w:val="center"/>
          </w:tcPr>
          <w:p w:rsidR="000E26C9" w:rsidRDefault="000E26C9" w:rsidP="000E26C9"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 w:rsidRPr="00494C82">
              <w:rPr>
                <w:rFonts w:eastAsia="微软雅黑"/>
                <w:color w:val="000000"/>
                <w:sz w:val="18"/>
                <w:szCs w:val="18"/>
              </w:rPr>
              <w:t xml:space="preserve">2020-N1QMS-1222839  </w:t>
            </w:r>
          </w:p>
          <w:p w:rsidR="0001216B" w:rsidRDefault="000121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1216B" w:rsidRDefault="0001216B" w:rsidP="00FD6066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1" w:type="dxa"/>
            <w:gridSpan w:val="4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229" w:type="dxa"/>
            <w:vAlign w:val="center"/>
          </w:tcPr>
          <w:p w:rsidR="0001216B" w:rsidRDefault="00FD60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01216B" w:rsidTr="00FE151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杜梦青</w:t>
            </w:r>
          </w:p>
        </w:tc>
        <w:tc>
          <w:tcPr>
            <w:tcW w:w="780" w:type="dxa"/>
            <w:gridSpan w:val="2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73" w:type="dxa"/>
            <w:gridSpan w:val="2"/>
            <w:vAlign w:val="center"/>
          </w:tcPr>
          <w:p w:rsidR="0001216B" w:rsidRDefault="00503620">
            <w:pPr>
              <w:jc w:val="center"/>
              <w:rPr>
                <w:sz w:val="21"/>
                <w:szCs w:val="21"/>
              </w:rPr>
            </w:pPr>
            <w:r w:rsidRPr="00223B0A">
              <w:rPr>
                <w:sz w:val="22"/>
                <w:szCs w:val="22"/>
              </w:rPr>
              <w:t>ISC-JSZJ-274</w:t>
            </w:r>
            <w:r>
              <w:rPr>
                <w:rFonts w:hint="eastAsia"/>
                <w:b/>
                <w:color w:val="000000" w:themeColor="text1"/>
                <w:sz w:val="20"/>
              </w:rPr>
              <w:t>专家</w:t>
            </w:r>
            <w:bookmarkStart w:id="14" w:name="_GoBack"/>
            <w:bookmarkEnd w:id="14"/>
          </w:p>
        </w:tc>
        <w:tc>
          <w:tcPr>
            <w:tcW w:w="1275" w:type="dxa"/>
            <w:gridSpan w:val="2"/>
            <w:vAlign w:val="center"/>
          </w:tcPr>
          <w:p w:rsidR="0001216B" w:rsidRDefault="00D92365" w:rsidP="00620370">
            <w:pPr>
              <w:rPr>
                <w:sz w:val="21"/>
                <w:szCs w:val="21"/>
              </w:rPr>
            </w:pPr>
            <w:r w:rsidRPr="00B75238">
              <w:rPr>
                <w:sz w:val="22"/>
                <w:szCs w:val="22"/>
              </w:rPr>
              <w:t>都昌县鄱阳湖珍珠养殖有限责任公司</w:t>
            </w:r>
          </w:p>
        </w:tc>
        <w:tc>
          <w:tcPr>
            <w:tcW w:w="1843" w:type="dxa"/>
            <w:gridSpan w:val="3"/>
            <w:vAlign w:val="center"/>
          </w:tcPr>
          <w:p w:rsidR="0001216B" w:rsidRDefault="0001216B" w:rsidP="00012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01.13.02,03.02.00</w:t>
            </w:r>
          </w:p>
        </w:tc>
        <w:tc>
          <w:tcPr>
            <w:tcW w:w="1811" w:type="dxa"/>
            <w:gridSpan w:val="4"/>
            <w:vAlign w:val="center"/>
          </w:tcPr>
          <w:p w:rsidR="0001216B" w:rsidRDefault="00012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15279175121</w:t>
            </w:r>
          </w:p>
        </w:tc>
        <w:tc>
          <w:tcPr>
            <w:tcW w:w="1229" w:type="dxa"/>
            <w:vAlign w:val="center"/>
          </w:tcPr>
          <w:p w:rsidR="0001216B" w:rsidRDefault="00FD60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DD013C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E64658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DD013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732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8476D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64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476D6"/>
        </w:tc>
      </w:tr>
      <w:tr w:rsidR="00DD013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6465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7325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476D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8476D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476D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476D6">
            <w:pPr>
              <w:spacing w:line="360" w:lineRule="auto"/>
            </w:pPr>
          </w:p>
        </w:tc>
      </w:tr>
      <w:tr w:rsidR="00DD013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6465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7325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6465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8476D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E6465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476D6">
            <w:pPr>
              <w:spacing w:line="360" w:lineRule="auto"/>
            </w:pPr>
          </w:p>
        </w:tc>
      </w:tr>
    </w:tbl>
    <w:p w:rsidR="004A38E5" w:rsidRDefault="008476D6">
      <w:pPr>
        <w:widowControl/>
        <w:jc w:val="left"/>
      </w:pPr>
    </w:p>
    <w:p w:rsidR="004A38E5" w:rsidRDefault="008476D6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E64658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6260"/>
        <w:gridCol w:w="1134"/>
      </w:tblGrid>
      <w:tr w:rsidR="00614327" w:rsidRPr="00D145C5" w:rsidTr="00E13D58">
        <w:trPr>
          <w:cantSplit/>
          <w:trHeight w:val="401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614327" w:rsidRPr="00D145C5" w:rsidTr="00B21EF8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260" w:type="dxa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614327" w:rsidRPr="00D145C5" w:rsidTr="00B21EF8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614327" w:rsidRPr="00D145C5" w:rsidRDefault="00614327" w:rsidP="003732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2</w:t>
            </w:r>
            <w:r w:rsidRPr="00D145C5">
              <w:rPr>
                <w:b/>
                <w:sz w:val="21"/>
                <w:szCs w:val="21"/>
              </w:rPr>
              <w:t>0</w:t>
            </w:r>
            <w:r w:rsidR="00373258">
              <w:rPr>
                <w:b/>
                <w:sz w:val="21"/>
                <w:szCs w:val="21"/>
              </w:rPr>
              <w:t>21</w:t>
            </w:r>
            <w:r w:rsidRPr="00D145C5">
              <w:rPr>
                <w:rFonts w:hint="eastAsia"/>
                <w:b/>
                <w:sz w:val="21"/>
                <w:szCs w:val="21"/>
              </w:rPr>
              <w:t>-</w:t>
            </w:r>
            <w:r w:rsidR="00373258">
              <w:rPr>
                <w:b/>
                <w:sz w:val="21"/>
                <w:szCs w:val="21"/>
              </w:rPr>
              <w:t>04</w:t>
            </w:r>
            <w:r w:rsidRPr="00D145C5">
              <w:rPr>
                <w:rFonts w:hint="eastAsia"/>
                <w:b/>
                <w:sz w:val="21"/>
                <w:szCs w:val="21"/>
              </w:rPr>
              <w:t>-</w:t>
            </w:r>
            <w:r w:rsidR="00373258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8:</w:t>
            </w:r>
            <w:r w:rsidRPr="00D145C5"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260" w:type="dxa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14327" w:rsidRPr="00D145C5" w:rsidRDefault="005E3FB0" w:rsidP="00373258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及</w:t>
            </w:r>
            <w:r>
              <w:rPr>
                <w:b/>
                <w:sz w:val="21"/>
                <w:szCs w:val="21"/>
              </w:rPr>
              <w:t>专家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614327" w:rsidRPr="00D145C5" w:rsidTr="00B21EF8">
        <w:trPr>
          <w:cantSplit/>
          <w:trHeight w:val="1047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9:</w:t>
            </w:r>
            <w:r w:rsidRPr="00D145C5">
              <w:rPr>
                <w:b/>
                <w:sz w:val="21"/>
                <w:szCs w:val="21"/>
              </w:rPr>
              <w:t>00</w:t>
            </w:r>
            <w:r w:rsidR="00A94817">
              <w:rPr>
                <w:b/>
                <w:sz w:val="21"/>
                <w:szCs w:val="21"/>
              </w:rPr>
              <w:t>~9</w:t>
            </w:r>
            <w:r w:rsidR="00A94817">
              <w:rPr>
                <w:rFonts w:hint="eastAsia"/>
                <w:b/>
                <w:sz w:val="21"/>
                <w:szCs w:val="21"/>
              </w:rPr>
              <w:t>：</w:t>
            </w:r>
            <w:r w:rsidR="00A94817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260" w:type="dxa"/>
            <w:vAlign w:val="center"/>
          </w:tcPr>
          <w:p w:rsidR="00614327" w:rsidRPr="00D145C5" w:rsidRDefault="00614327" w:rsidP="00E13D58">
            <w:pPr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D145C5">
              <w:rPr>
                <w:sz w:val="21"/>
                <w:szCs w:val="21"/>
                <w:shd w:val="pct10" w:color="auto" w:fill="FFFFFF"/>
              </w:rPr>
              <w:t>: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 w:rsidRPr="00D145C5">
              <w:rPr>
                <w:rFonts w:hint="eastAsia"/>
                <w:sz w:val="21"/>
                <w:szCs w:val="21"/>
              </w:rPr>
              <w:t>3C</w:t>
            </w:r>
            <w:r w:rsidRPr="00D145C5">
              <w:rPr>
                <w:rFonts w:hint="eastAsia"/>
                <w:sz w:val="21"/>
                <w:szCs w:val="21"/>
              </w:rPr>
              <w:t>证书等）</w:t>
            </w:r>
            <w:r w:rsidRPr="00D145C5"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D145C5">
              <w:rPr>
                <w:rFonts w:hint="eastAsia"/>
                <w:sz w:val="21"/>
                <w:szCs w:val="21"/>
              </w:rPr>
              <w:t>和复印件</w:t>
            </w:r>
            <w:r w:rsidRPr="00D145C5">
              <w:rPr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扫描件的一致性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确定审核范围的合理性（地址、产品</w:t>
            </w:r>
            <w:r w:rsidRPr="00D145C5">
              <w:rPr>
                <w:rFonts w:hint="eastAsia"/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服务）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确定有效的员工人数</w:t>
            </w:r>
            <w:r w:rsidRPr="00D145C5">
              <w:rPr>
                <w:sz w:val="21"/>
                <w:szCs w:val="21"/>
              </w:rPr>
              <w:t xml:space="preserve"> 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生产、服务的班次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2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体系运行时间是否满足</w:t>
            </w:r>
            <w:r w:rsidRPr="00D145C5">
              <w:rPr>
                <w:rFonts w:hint="eastAsia"/>
                <w:sz w:val="21"/>
                <w:szCs w:val="21"/>
              </w:rPr>
              <w:t>3</w:t>
            </w:r>
            <w:r w:rsidRPr="00D145C5"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14327" w:rsidRDefault="00D75F7D" w:rsidP="00446B4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672A81" w:rsidRPr="00D145C5" w:rsidRDefault="00672A81" w:rsidP="00446B4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及</w:t>
            </w:r>
            <w:r>
              <w:rPr>
                <w:b/>
                <w:sz w:val="21"/>
                <w:szCs w:val="21"/>
              </w:rPr>
              <w:t>专家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614327" w:rsidRPr="00D145C5" w:rsidTr="00B21EF8">
        <w:trPr>
          <w:cantSplit/>
          <w:trHeight w:val="1047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</w:t>
            </w:r>
            <w:r>
              <w:rPr>
                <w:b/>
                <w:sz w:val="21"/>
                <w:szCs w:val="21"/>
              </w:rPr>
              <w:t>:30</w:t>
            </w:r>
            <w:r w:rsidR="00A94817">
              <w:rPr>
                <w:b/>
                <w:sz w:val="21"/>
                <w:szCs w:val="21"/>
              </w:rPr>
              <w:t>~10:00</w:t>
            </w:r>
          </w:p>
        </w:tc>
        <w:tc>
          <w:tcPr>
            <w:tcW w:w="6260" w:type="dxa"/>
            <w:vAlign w:val="center"/>
          </w:tcPr>
          <w:p w:rsidR="00614327" w:rsidRPr="00D145C5" w:rsidRDefault="00614327" w:rsidP="00E13D58">
            <w:pPr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组织环境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主要的相关方和期望</w:t>
            </w:r>
            <w:r w:rsidRPr="00D145C5">
              <w:rPr>
                <w:sz w:val="21"/>
                <w:szCs w:val="21"/>
              </w:rPr>
              <w:t xml:space="preserve"> 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风险的识别和评价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组织机构的设置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14327" w:rsidRDefault="00D75F7D" w:rsidP="00446B4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672A81" w:rsidRPr="00D145C5" w:rsidRDefault="00672A81" w:rsidP="00446B4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及</w:t>
            </w:r>
            <w:r>
              <w:rPr>
                <w:b/>
                <w:sz w:val="21"/>
                <w:szCs w:val="21"/>
              </w:rPr>
              <w:t>专家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614327" w:rsidRPr="00D145C5" w:rsidTr="00B21EF8">
        <w:trPr>
          <w:cantSplit/>
          <w:trHeight w:val="1047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10:00</w:t>
            </w:r>
            <w:r w:rsidR="00A94817">
              <w:rPr>
                <w:b/>
                <w:sz w:val="21"/>
                <w:szCs w:val="21"/>
              </w:rPr>
              <w:t>~10</w:t>
            </w:r>
            <w:r w:rsidR="00A94817">
              <w:rPr>
                <w:rFonts w:hint="eastAsia"/>
                <w:b/>
                <w:sz w:val="21"/>
                <w:szCs w:val="21"/>
              </w:rPr>
              <w:t>：</w:t>
            </w:r>
            <w:r w:rsidR="00A94817">
              <w:rPr>
                <w:rFonts w:hint="eastAsia"/>
                <w:b/>
                <w:sz w:val="21"/>
                <w:szCs w:val="21"/>
              </w:rPr>
              <w:t>30</w:t>
            </w:r>
          </w:p>
        </w:tc>
        <w:tc>
          <w:tcPr>
            <w:tcW w:w="6260" w:type="dxa"/>
            <w:vAlign w:val="center"/>
          </w:tcPr>
          <w:p w:rsidR="00614327" w:rsidRPr="00D145C5" w:rsidRDefault="00614327" w:rsidP="00E13D58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614327" w:rsidRPr="00D145C5" w:rsidRDefault="00614327" w:rsidP="00E13D58">
            <w:pPr>
              <w:widowControl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-</w:t>
            </w:r>
            <w:r w:rsidRPr="00D145C5">
              <w:rPr>
                <w:sz w:val="21"/>
                <w:szCs w:val="21"/>
              </w:rPr>
              <w:t xml:space="preserve"> </w:t>
            </w:r>
            <w:r w:rsidRPr="00D145C5">
              <w:rPr>
                <w:rFonts w:hint="eastAsia"/>
                <w:sz w:val="21"/>
                <w:szCs w:val="21"/>
              </w:rPr>
              <w:t>管理手册；</w:t>
            </w:r>
          </w:p>
          <w:p w:rsidR="00614327" w:rsidRPr="00D145C5" w:rsidRDefault="00614327" w:rsidP="00E13D58">
            <w:pPr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</w:rPr>
              <w:t>-</w:t>
            </w:r>
            <w:r w:rsidRPr="00D145C5">
              <w:rPr>
                <w:sz w:val="21"/>
                <w:szCs w:val="21"/>
              </w:rPr>
              <w:t xml:space="preserve"> </w:t>
            </w:r>
            <w:r w:rsidRPr="00D145C5">
              <w:rPr>
                <w:rFonts w:hint="eastAsia"/>
                <w:sz w:val="21"/>
                <w:szCs w:val="21"/>
              </w:rPr>
              <w:t>文件化的程序；</w:t>
            </w:r>
          </w:p>
          <w:p w:rsidR="00614327" w:rsidRPr="00D145C5" w:rsidRDefault="00614327" w:rsidP="00E13D58">
            <w:pPr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-</w:t>
            </w:r>
            <w:r w:rsidRPr="00D145C5">
              <w:rPr>
                <w:sz w:val="21"/>
                <w:szCs w:val="21"/>
              </w:rPr>
              <w:t xml:space="preserve"> </w:t>
            </w:r>
            <w:r w:rsidRPr="00D145C5">
              <w:rPr>
                <w:rFonts w:hint="eastAsia"/>
                <w:sz w:val="21"/>
                <w:szCs w:val="21"/>
              </w:rPr>
              <w:t>作业文件；</w:t>
            </w:r>
          </w:p>
          <w:p w:rsidR="00614327" w:rsidRPr="00D145C5" w:rsidRDefault="00614327" w:rsidP="00E13D58">
            <w:pPr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</w:rPr>
              <w:t>-</w:t>
            </w:r>
            <w:r w:rsidRPr="00D145C5">
              <w:rPr>
                <w:sz w:val="21"/>
                <w:szCs w:val="21"/>
              </w:rPr>
              <w:t xml:space="preserve"> </w:t>
            </w:r>
            <w:r w:rsidRPr="00D145C5"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14327" w:rsidRDefault="00D75F7D" w:rsidP="00446B4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  <w:p w:rsidR="00446B48" w:rsidRPr="00D145C5" w:rsidRDefault="00672A81" w:rsidP="00446B4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及</w:t>
            </w:r>
            <w:r>
              <w:rPr>
                <w:b/>
                <w:sz w:val="21"/>
                <w:szCs w:val="21"/>
              </w:rPr>
              <w:t>专家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614327" w:rsidRPr="00D145C5" w:rsidTr="00B21EF8">
        <w:trPr>
          <w:cantSplit/>
          <w:trHeight w:val="1047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0:30</w:t>
            </w:r>
            <w:r w:rsidR="00A94817">
              <w:rPr>
                <w:b/>
                <w:sz w:val="21"/>
                <w:szCs w:val="21"/>
              </w:rPr>
              <w:t>~11</w:t>
            </w:r>
            <w:r w:rsidR="00A94817">
              <w:rPr>
                <w:rFonts w:hint="eastAsia"/>
                <w:b/>
                <w:sz w:val="21"/>
                <w:szCs w:val="21"/>
              </w:rPr>
              <w:t>：</w:t>
            </w:r>
            <w:r w:rsidR="00A94817"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260" w:type="dxa"/>
            <w:vAlign w:val="center"/>
          </w:tcPr>
          <w:p w:rsidR="00614327" w:rsidRPr="00D145C5" w:rsidRDefault="00614327" w:rsidP="00E13D58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相关方</w:t>
            </w:r>
            <w:r w:rsidRPr="00D145C5">
              <w:rPr>
                <w:rFonts w:hint="eastAsia"/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客户的反馈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内审的策划和实施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管理体系的评审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对</w:t>
            </w:r>
            <w:r w:rsidRPr="00D145C5">
              <w:rPr>
                <w:sz w:val="21"/>
                <w:szCs w:val="21"/>
              </w:rPr>
              <w:t>多场所</w:t>
            </w:r>
            <w:r w:rsidRPr="00D145C5">
              <w:rPr>
                <w:rFonts w:hint="eastAsia"/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临时场所</w:t>
            </w:r>
            <w:r w:rsidRPr="00D145C5">
              <w:rPr>
                <w:sz w:val="21"/>
                <w:szCs w:val="21"/>
              </w:rPr>
              <w:t>建立的控制的水平（</w:t>
            </w:r>
            <w:r w:rsidRPr="00D145C5">
              <w:rPr>
                <w:rFonts w:hint="eastAsia"/>
                <w:sz w:val="21"/>
                <w:szCs w:val="21"/>
              </w:rPr>
              <w:t>适用</w:t>
            </w:r>
            <w:r w:rsidRPr="00D145C5">
              <w:rPr>
                <w:sz w:val="21"/>
                <w:szCs w:val="21"/>
              </w:rPr>
              <w:t>时）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614327" w:rsidRPr="00D145C5" w:rsidRDefault="005E3FB0" w:rsidP="002715D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及</w:t>
            </w:r>
            <w:r>
              <w:rPr>
                <w:b/>
                <w:sz w:val="21"/>
                <w:szCs w:val="21"/>
              </w:rPr>
              <w:t>专家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614327" w:rsidRPr="00D145C5" w:rsidTr="00B21EF8">
        <w:trPr>
          <w:cantSplit/>
          <w:trHeight w:val="1053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1:00</w:t>
            </w:r>
            <w:r w:rsidR="00A94817">
              <w:rPr>
                <w:b/>
                <w:sz w:val="21"/>
                <w:szCs w:val="21"/>
              </w:rPr>
              <w:t>~12</w:t>
            </w:r>
            <w:r w:rsidR="00A94817"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260" w:type="dxa"/>
            <w:shd w:val="clear" w:color="auto" w:fill="EAF1DD" w:themeFill="accent3" w:themeFillTint="33"/>
            <w:vAlign w:val="center"/>
          </w:tcPr>
          <w:p w:rsidR="00614327" w:rsidRPr="00D145C5" w:rsidRDefault="00614327" w:rsidP="00E13D58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 w:rsidRPr="00D145C5">
              <w:rPr>
                <w:sz w:val="21"/>
                <w:szCs w:val="21"/>
                <w:shd w:val="pct10" w:color="auto" w:fill="FFFFFF"/>
              </w:rPr>
              <w:t>: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确认生产</w:t>
            </w:r>
            <w:r w:rsidRPr="00D145C5">
              <w:rPr>
                <w:rFonts w:hint="eastAsia"/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服务流程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观察质量相关的监视和测量设备的种类并了解检定</w:t>
            </w:r>
            <w:r w:rsidRPr="00D145C5">
              <w:rPr>
                <w:rFonts w:hint="eastAsia"/>
                <w:sz w:val="21"/>
                <w:szCs w:val="21"/>
              </w:rPr>
              <w:t>/</w:t>
            </w:r>
            <w:r w:rsidRPr="00D145C5">
              <w:rPr>
                <w:rFonts w:hint="eastAsia"/>
                <w:sz w:val="21"/>
                <w:szCs w:val="21"/>
              </w:rPr>
              <w:t>校准情况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614327" w:rsidRPr="00D145C5" w:rsidRDefault="00614327" w:rsidP="0061432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14327" w:rsidRPr="00D145C5" w:rsidRDefault="00614327" w:rsidP="002C3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 w:rsidR="002715DB">
              <w:rPr>
                <w:b/>
                <w:sz w:val="21"/>
                <w:szCs w:val="21"/>
              </w:rPr>
              <w:t>A</w:t>
            </w:r>
            <w:r w:rsidR="002715DB">
              <w:rPr>
                <w:rFonts w:hint="eastAsia"/>
                <w:b/>
                <w:sz w:val="21"/>
                <w:szCs w:val="21"/>
              </w:rPr>
              <w:t>及</w:t>
            </w:r>
            <w:r w:rsidR="002715DB">
              <w:rPr>
                <w:b/>
                <w:sz w:val="21"/>
                <w:szCs w:val="21"/>
              </w:rPr>
              <w:t>专家</w:t>
            </w:r>
            <w:r w:rsidR="002715DB"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614327" w:rsidRPr="00D145C5" w:rsidTr="00B21EF8">
        <w:trPr>
          <w:cantSplit/>
          <w:trHeight w:val="446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14327" w:rsidRDefault="003F3F59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  <w:r>
              <w:rPr>
                <w:b/>
                <w:sz w:val="21"/>
                <w:szCs w:val="21"/>
              </w:rPr>
              <w:t>~</w:t>
            </w:r>
            <w:r w:rsidR="00614327">
              <w:rPr>
                <w:rFonts w:hint="eastAsia"/>
                <w:b/>
                <w:sz w:val="21"/>
                <w:szCs w:val="21"/>
              </w:rPr>
              <w:t>1</w:t>
            </w:r>
            <w:r w:rsidR="00614327">
              <w:rPr>
                <w:b/>
                <w:sz w:val="21"/>
                <w:szCs w:val="21"/>
              </w:rPr>
              <w:t>3:00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614327" w:rsidRPr="00D145C5" w:rsidRDefault="00614327" w:rsidP="00E13D58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午餐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14327" w:rsidRPr="00D145C5" w:rsidRDefault="00614327" w:rsidP="002C3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B</w:t>
            </w:r>
          </w:p>
        </w:tc>
      </w:tr>
      <w:tr w:rsidR="00614327" w:rsidRPr="00D145C5" w:rsidTr="00B21EF8">
        <w:trPr>
          <w:cantSplit/>
          <w:trHeight w:val="1047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614327" w:rsidRPr="00D145C5" w:rsidRDefault="00614327" w:rsidP="00E13D58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614327" w:rsidRPr="00D145C5" w:rsidRDefault="00366993" w:rsidP="00E067D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:00</w:t>
            </w:r>
            <w:r>
              <w:rPr>
                <w:b/>
                <w:sz w:val="21"/>
                <w:szCs w:val="21"/>
              </w:rPr>
              <w:t>~</w:t>
            </w:r>
            <w:r w:rsidR="00614327">
              <w:rPr>
                <w:rFonts w:hint="eastAsia"/>
                <w:b/>
                <w:sz w:val="21"/>
                <w:szCs w:val="21"/>
              </w:rPr>
              <w:t>1</w:t>
            </w:r>
            <w:r w:rsidR="00E067D7">
              <w:rPr>
                <w:b/>
                <w:sz w:val="21"/>
                <w:szCs w:val="21"/>
              </w:rPr>
              <w:t>6</w:t>
            </w:r>
            <w:r w:rsidR="00614327">
              <w:rPr>
                <w:rFonts w:hint="eastAsia"/>
                <w:b/>
                <w:sz w:val="21"/>
                <w:szCs w:val="21"/>
              </w:rPr>
              <w:t>:</w:t>
            </w:r>
            <w:r w:rsidR="00E067D7">
              <w:rPr>
                <w:b/>
                <w:sz w:val="21"/>
                <w:szCs w:val="21"/>
              </w:rPr>
              <w:t>0</w:t>
            </w:r>
            <w:r w:rsidR="006C6012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260" w:type="dxa"/>
            <w:shd w:val="clear" w:color="auto" w:fill="EAF1DD" w:themeFill="accent3" w:themeFillTint="33"/>
            <w:vAlign w:val="center"/>
          </w:tcPr>
          <w:p w:rsidR="00614327" w:rsidRPr="00D145C5" w:rsidRDefault="00614327" w:rsidP="00E13D58">
            <w:pPr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QMS</w:t>
            </w:r>
            <w:r w:rsidRPr="00D145C5"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确认不适用条款及合理的理由</w:t>
            </w:r>
            <w:r w:rsidRPr="00D145C5">
              <w:rPr>
                <w:sz w:val="21"/>
                <w:szCs w:val="21"/>
              </w:rPr>
              <w:t xml:space="preserve">                   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</w:rPr>
              <w:t>了解质量关键控制点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 w:rsidRPr="00D145C5"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了解顾客投诉处理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了解顾客满意度的情况</w:t>
            </w:r>
          </w:p>
          <w:p w:rsidR="00614327" w:rsidRPr="00D145C5" w:rsidRDefault="00614327" w:rsidP="00614327">
            <w:pPr>
              <w:pStyle w:val="a9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 w:rsidRPr="00D145C5">
              <w:rPr>
                <w:rFonts w:hint="eastAsia"/>
                <w:sz w:val="21"/>
                <w:szCs w:val="21"/>
              </w:rPr>
              <w:t>确定建设单位的在建项目清单（仅限建工</w:t>
            </w:r>
            <w:r w:rsidRPr="00D145C5">
              <w:rPr>
                <w:rFonts w:hint="eastAsia"/>
                <w:sz w:val="21"/>
                <w:szCs w:val="21"/>
              </w:rPr>
              <w:t>QMS</w:t>
            </w:r>
            <w:r w:rsidRPr="00D145C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14327" w:rsidRPr="00D145C5" w:rsidRDefault="002715DB" w:rsidP="002C362C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及</w:t>
            </w:r>
            <w:r>
              <w:rPr>
                <w:b/>
                <w:sz w:val="21"/>
                <w:szCs w:val="21"/>
              </w:rPr>
              <w:t>专家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2715DB" w:rsidRPr="00D145C5" w:rsidTr="00B21EF8">
        <w:trPr>
          <w:cantSplit/>
          <w:trHeight w:val="696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715DB" w:rsidRPr="00D145C5" w:rsidRDefault="002715DB" w:rsidP="002715D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15DB" w:rsidRPr="00D145C5" w:rsidRDefault="00366993" w:rsidP="00E067D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E067D7">
              <w:rPr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 w:rsidR="00E067D7">
              <w:rPr>
                <w:b/>
                <w:sz w:val="21"/>
                <w:szCs w:val="21"/>
              </w:rPr>
              <w:t>0</w:t>
            </w:r>
            <w:r w:rsidR="006C6012">
              <w:rPr>
                <w:b/>
                <w:sz w:val="21"/>
                <w:szCs w:val="21"/>
              </w:rPr>
              <w:t>0</w:t>
            </w:r>
            <w:r>
              <w:rPr>
                <w:b/>
                <w:sz w:val="21"/>
                <w:szCs w:val="21"/>
              </w:rPr>
              <w:t>~</w:t>
            </w:r>
            <w:r w:rsidR="002715DB">
              <w:rPr>
                <w:rFonts w:hint="eastAsia"/>
                <w:b/>
                <w:sz w:val="21"/>
                <w:szCs w:val="21"/>
              </w:rPr>
              <w:t>1</w:t>
            </w:r>
            <w:r w:rsidR="006C6012">
              <w:rPr>
                <w:b/>
                <w:sz w:val="21"/>
                <w:szCs w:val="21"/>
              </w:rPr>
              <w:t>6</w:t>
            </w:r>
            <w:r w:rsidR="002715DB">
              <w:rPr>
                <w:rFonts w:hint="eastAsia"/>
                <w:b/>
                <w:sz w:val="21"/>
                <w:szCs w:val="21"/>
              </w:rPr>
              <w:t>:</w:t>
            </w:r>
            <w:r w:rsidR="006C6012"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2715DB" w:rsidRPr="001160E2" w:rsidRDefault="002715DB" w:rsidP="002715D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1160E2"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  <w:p w:rsidR="002715DB" w:rsidRPr="00062827" w:rsidRDefault="002715DB" w:rsidP="002715D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062827">
              <w:rPr>
                <w:rFonts w:hint="eastAsia"/>
                <w:sz w:val="21"/>
                <w:szCs w:val="21"/>
                <w:shd w:val="pct10" w:color="auto" w:fill="FFFFFF"/>
              </w:rPr>
              <w:t>审核组整理材料，与管代沟通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715DB" w:rsidRPr="00D145C5" w:rsidRDefault="002715DB" w:rsidP="002715D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及</w:t>
            </w:r>
            <w:r>
              <w:rPr>
                <w:b/>
                <w:sz w:val="21"/>
                <w:szCs w:val="21"/>
              </w:rPr>
              <w:t>专家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2715DB" w:rsidRPr="00D145C5" w:rsidTr="00B21EF8">
        <w:trPr>
          <w:cantSplit/>
          <w:trHeight w:val="408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715DB" w:rsidRPr="00D145C5" w:rsidRDefault="002715DB" w:rsidP="002715D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15DB" w:rsidRPr="00D145C5" w:rsidRDefault="00366993" w:rsidP="006C6012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6C6012">
              <w:rPr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  <w:r>
              <w:rPr>
                <w:b/>
                <w:sz w:val="21"/>
                <w:szCs w:val="21"/>
              </w:rPr>
              <w:t>~</w:t>
            </w:r>
            <w:r w:rsidR="002715DB">
              <w:rPr>
                <w:rFonts w:hint="eastAsia"/>
                <w:b/>
                <w:sz w:val="21"/>
                <w:szCs w:val="21"/>
              </w:rPr>
              <w:t>1</w:t>
            </w:r>
            <w:r w:rsidR="006C6012">
              <w:rPr>
                <w:b/>
                <w:sz w:val="21"/>
                <w:szCs w:val="21"/>
              </w:rPr>
              <w:t>7</w:t>
            </w:r>
            <w:r w:rsidR="002715DB">
              <w:rPr>
                <w:rFonts w:hint="eastAsia"/>
                <w:b/>
                <w:sz w:val="21"/>
                <w:szCs w:val="21"/>
              </w:rPr>
              <w:t>:</w:t>
            </w:r>
            <w:r w:rsidR="006C6012"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2715DB" w:rsidRDefault="002715DB" w:rsidP="002715D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A41CF4">
              <w:rPr>
                <w:rFonts w:hint="eastAsia"/>
                <w:sz w:val="18"/>
                <w:szCs w:val="18"/>
              </w:rPr>
              <w:t>末次会议</w:t>
            </w:r>
          </w:p>
          <w:p w:rsidR="002715DB" w:rsidRPr="001160E2" w:rsidRDefault="002715DB" w:rsidP="002715DB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18"/>
                <w:szCs w:val="18"/>
              </w:rPr>
            </w:pPr>
            <w:r w:rsidRPr="001160E2"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715DB" w:rsidRPr="00D145C5" w:rsidRDefault="002715DB" w:rsidP="002715D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D145C5"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及</w:t>
            </w:r>
            <w:r>
              <w:rPr>
                <w:b/>
                <w:sz w:val="21"/>
                <w:szCs w:val="21"/>
              </w:rPr>
              <w:t>专家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 w:rsidR="002715DB" w:rsidRPr="00D145C5" w:rsidTr="00B21EF8">
        <w:trPr>
          <w:cantSplit/>
          <w:trHeight w:val="558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715DB" w:rsidRPr="00D145C5" w:rsidRDefault="002715DB" w:rsidP="002715D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15DB" w:rsidRDefault="002715DB" w:rsidP="002715D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260" w:type="dxa"/>
            <w:shd w:val="clear" w:color="auto" w:fill="auto"/>
            <w:vAlign w:val="center"/>
          </w:tcPr>
          <w:p w:rsidR="002715DB" w:rsidRDefault="002715DB" w:rsidP="002715DB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审核结束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715DB" w:rsidRPr="00D145C5" w:rsidRDefault="002715DB" w:rsidP="002715DB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 w:rsidR="00614327" w:rsidRDefault="00614327" w:rsidP="00205FB2">
      <w:pPr>
        <w:snapToGrid w:val="0"/>
        <w:spacing w:beforeLines="50" w:before="163" w:line="320" w:lineRule="exact"/>
        <w:ind w:firstLineChars="1250" w:firstLine="3750"/>
        <w:rPr>
          <w:rFonts w:eastAsia="隶书"/>
          <w:sz w:val="30"/>
          <w:szCs w:val="30"/>
        </w:rPr>
      </w:pPr>
    </w:p>
    <w:p w:rsidR="004A38E5" w:rsidRDefault="008476D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E6465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E64658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6465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6465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E64658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6465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476D6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D6" w:rsidRDefault="008476D6">
      <w:r>
        <w:separator/>
      </w:r>
    </w:p>
  </w:endnote>
  <w:endnote w:type="continuationSeparator" w:id="0">
    <w:p w:rsidR="008476D6" w:rsidRDefault="0084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6465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76D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76D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476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D6" w:rsidRDefault="008476D6">
      <w:r>
        <w:separator/>
      </w:r>
    </w:p>
  </w:footnote>
  <w:footnote w:type="continuationSeparator" w:id="0">
    <w:p w:rsidR="008476D6" w:rsidRDefault="0084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E5" w:rsidRDefault="00E6465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476D6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6465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4658">
      <w:rPr>
        <w:rStyle w:val="CharChar1"/>
        <w:rFonts w:hint="default"/>
        <w:w w:val="90"/>
      </w:rPr>
      <w:t>Beijing International Standard united Certification Co.,Ltd.</w:t>
    </w:r>
  </w:p>
  <w:p w:rsidR="004A38E5" w:rsidRDefault="00E64658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3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13C"/>
    <w:rsid w:val="0001216B"/>
    <w:rsid w:val="00022957"/>
    <w:rsid w:val="00025CEB"/>
    <w:rsid w:val="000E26C9"/>
    <w:rsid w:val="000E59F4"/>
    <w:rsid w:val="00104BE2"/>
    <w:rsid w:val="00120367"/>
    <w:rsid w:val="001352D7"/>
    <w:rsid w:val="001F0CA3"/>
    <w:rsid w:val="002715DB"/>
    <w:rsid w:val="002C362C"/>
    <w:rsid w:val="0031408D"/>
    <w:rsid w:val="00366993"/>
    <w:rsid w:val="00373258"/>
    <w:rsid w:val="003F3F59"/>
    <w:rsid w:val="0040671A"/>
    <w:rsid w:val="00446B48"/>
    <w:rsid w:val="00503620"/>
    <w:rsid w:val="00557B6E"/>
    <w:rsid w:val="005E3FB0"/>
    <w:rsid w:val="00614327"/>
    <w:rsid w:val="00620370"/>
    <w:rsid w:val="00672A81"/>
    <w:rsid w:val="006C6012"/>
    <w:rsid w:val="00791367"/>
    <w:rsid w:val="007E3617"/>
    <w:rsid w:val="008476D6"/>
    <w:rsid w:val="0094622F"/>
    <w:rsid w:val="009A218E"/>
    <w:rsid w:val="00A35EC9"/>
    <w:rsid w:val="00A94817"/>
    <w:rsid w:val="00B21EF8"/>
    <w:rsid w:val="00BE1FCA"/>
    <w:rsid w:val="00C14418"/>
    <w:rsid w:val="00C43372"/>
    <w:rsid w:val="00C46727"/>
    <w:rsid w:val="00C622E0"/>
    <w:rsid w:val="00CC45A8"/>
    <w:rsid w:val="00D75F7D"/>
    <w:rsid w:val="00D92365"/>
    <w:rsid w:val="00DD013C"/>
    <w:rsid w:val="00E067D7"/>
    <w:rsid w:val="00E64658"/>
    <w:rsid w:val="00E957DC"/>
    <w:rsid w:val="00E96C9B"/>
    <w:rsid w:val="00EC5957"/>
    <w:rsid w:val="00F964DD"/>
    <w:rsid w:val="00FA4D66"/>
    <w:rsid w:val="00FD6066"/>
    <w:rsid w:val="00FE1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C2E7F272-B957-4D7B-BEB4-2A3B8471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39DE5-D757-476B-81DD-F31ADAD6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350</Words>
  <Characters>2000</Characters>
  <Application>Microsoft Office Word</Application>
  <DocSecurity>0</DocSecurity>
  <Lines>16</Lines>
  <Paragraphs>4</Paragraphs>
  <ScaleCrop>false</ScaleCrop>
  <Company>微软中国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62</cp:revision>
  <cp:lastPrinted>2019-03-27T03:10:00Z</cp:lastPrinted>
  <dcterms:created xsi:type="dcterms:W3CDTF">2015-06-17T12:16:00Z</dcterms:created>
  <dcterms:modified xsi:type="dcterms:W3CDTF">2021-04-14T07:02:00Z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