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保定市金烁源变压器有限公司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14.02.04,17.11.03,17.12.05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刘玉兰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14.02.04,17.11.03,17.12.05,19.09.01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hint="eastAsia" w:ascii="宋体" w:hAnsi="宋体" w:eastAsia="宋体"/>
                <w:b/>
                <w:color w:val="000000" w:themeColor="text1"/>
                <w:sz w:val="20"/>
                <w:szCs w:val="20"/>
                <w:lang w:val="en-US" w:eastAsia="zh-CN"/>
              </w:rPr>
            </w:pPr>
            <w:r>
              <w:rPr>
                <w:rFonts w:hint="eastAsia" w:ascii="宋体" w:cs="宋体" w:hAnsiTheme="minorHAnsi"/>
                <w:color w:val="000000" w:themeColor="text1"/>
                <w:kern w:val="0"/>
                <w:sz w:val="20"/>
                <w:szCs w:val="20"/>
              </w:rPr>
              <w:t>第二阶段审核：</w:t>
            </w:r>
            <w:r>
              <w:rPr>
                <w:rFonts w:hint="eastAsia" w:ascii="宋体" w:cs="宋体" w:hAnsiTheme="minorHAnsi"/>
                <w:color w:val="000000" w:themeColor="text1"/>
                <w:kern w:val="0"/>
                <w:sz w:val="20"/>
                <w:szCs w:val="20"/>
                <w:lang w:val="en-US" w:eastAsia="zh-CN"/>
              </w:rPr>
              <w:t>补充现场审核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保定市金烁源变压器有限公司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保定市竞秀区颉庄乡康庄村南</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保定市竞秀区颉庄乡康庄村南</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刘亮</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13733328065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刘亮</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刘亮</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10kv电力变压器及变压器配件，复合绝缘横担，金具,铁附件，标识牌，安全工具器（资质许可范围内除外）的生产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14.02.04;17.11.03;17.12.05;19.09.01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2021.1.18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管理层</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ascii="宋体" w:hAnsi="宋体"/>
                <w:b/>
                <w:color w:val="000000" w:themeColor="text1"/>
                <w:spacing w:val="-20"/>
                <w:sz w:val="20"/>
                <w:szCs w:val="20"/>
              </w:rPr>
              <w:t>4.1/4.2/4.3/4. 4/5.1/5.2/5.3/ 6.1/6.2/6.3/7. 1.1/9.1.1/9.2/ 9.3/10.1 /10.3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行政部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ascii="宋体" w:hAnsi="宋体"/>
                <w:b/>
                <w:color w:val="000000" w:themeColor="text1"/>
                <w:spacing w:val="-20"/>
                <w:sz w:val="20"/>
                <w:szCs w:val="20"/>
              </w:rPr>
              <w:t>5.3/6.2/7.1.2/8.4/9. 1.3/9.2/10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市场部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ascii="宋体" w:hAnsi="宋体"/>
                <w:b/>
                <w:color w:val="000000" w:themeColor="text1"/>
                <w:spacing w:val="-20"/>
                <w:sz w:val="20"/>
                <w:szCs w:val="20"/>
              </w:rPr>
              <w:t>5.3/6.2/8.2/9.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生产部</w:t>
            </w:r>
          </w:p>
        </w:tc>
        <w:tc>
          <w:tcPr>
            <w:tcW w:w="6804"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ascii="宋体" w:hAnsi="宋体"/>
                <w:b/>
                <w:color w:val="000000" w:themeColor="text1"/>
                <w:spacing w:val="-20"/>
                <w:sz w:val="20"/>
                <w:szCs w:val="20"/>
              </w:rPr>
              <w:t>5.3/6.2/7.1.3/ 7.1.4/7.1.5/8. 1/8.3/8.5.1/</w:t>
            </w:r>
            <w:r>
              <w:rPr>
                <w:rFonts w:hint="eastAsia" w:ascii="宋体" w:hAnsi="宋体"/>
                <w:b/>
                <w:color w:val="000000" w:themeColor="text1"/>
                <w:spacing w:val="-20"/>
                <w:sz w:val="20"/>
                <w:szCs w:val="20"/>
                <w:lang w:val="en-US" w:eastAsia="zh-CN"/>
              </w:rPr>
              <w:t xml:space="preserve"> </w:t>
            </w:r>
            <w:r>
              <w:rPr>
                <w:rFonts w:ascii="宋体" w:hAnsi="宋体"/>
                <w:b/>
                <w:color w:val="000000" w:themeColor="text1"/>
                <w:spacing w:val="-20"/>
                <w:sz w:val="20"/>
                <w:szCs w:val="20"/>
              </w:rPr>
              <w:t>8.6/8.7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楷体" w:hAnsi="楷体" w:eastAsia="楷体"/>
              </w:rPr>
              <w:t>10kv电力变压器及变压器配件，复合绝缘横担，金具,铁附件，标识牌，安全工具器（资质许可范围内除外）</w:t>
            </w:r>
            <w:r>
              <w:rPr>
                <w:rFonts w:hint="eastAsia" w:ascii="楷体" w:hAnsi="楷体" w:eastAsia="楷体"/>
                <w:color w:val="000000"/>
              </w:rPr>
              <w:t>的生产</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多种</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多种</w:t>
            </w:r>
          </w:p>
        </w:tc>
        <w:tc>
          <w:tcPr>
            <w:tcW w:w="3543" w:type="dxa"/>
            <w:vAlign w:val="top"/>
          </w:tcPr>
          <w:p>
            <w:pPr>
              <w:rPr>
                <w:rFonts w:ascii="楷体" w:hAnsi="楷体" w:eastAsia="楷体"/>
                <w:szCs w:val="21"/>
              </w:rPr>
            </w:pPr>
            <w:r>
              <w:rPr>
                <w:rFonts w:hint="eastAsia" w:ascii="楷体" w:hAnsi="楷体" w:eastAsia="楷体"/>
                <w:szCs w:val="21"/>
              </w:rPr>
              <w:t>1.10-35kv变压器</w:t>
            </w:r>
          </w:p>
          <w:p>
            <w:pPr>
              <w:rPr>
                <w:rFonts w:ascii="楷体" w:hAnsi="楷体" w:eastAsia="楷体"/>
                <w:szCs w:val="21"/>
              </w:rPr>
            </w:pPr>
            <w:r>
              <w:rPr>
                <w:rFonts w:hint="eastAsia" w:ascii="楷体" w:hAnsi="楷体" w:eastAsia="楷体"/>
                <w:szCs w:val="21"/>
              </w:rPr>
              <w:t>GB1094.1-1996 电力变压器第一部分总则</w:t>
            </w:r>
          </w:p>
          <w:p>
            <w:pPr>
              <w:rPr>
                <w:rFonts w:ascii="楷体" w:hAnsi="楷体" w:eastAsia="楷体"/>
                <w:szCs w:val="21"/>
              </w:rPr>
            </w:pPr>
            <w:r>
              <w:rPr>
                <w:rFonts w:hint="eastAsia" w:ascii="楷体" w:hAnsi="楷体" w:eastAsia="楷体"/>
                <w:szCs w:val="21"/>
              </w:rPr>
              <w:t>GB1094.2-1996 电力变压器第二部分升温</w:t>
            </w:r>
          </w:p>
          <w:p>
            <w:pPr>
              <w:rPr>
                <w:rFonts w:ascii="楷体" w:hAnsi="楷体" w:eastAsia="楷体"/>
                <w:szCs w:val="21"/>
              </w:rPr>
            </w:pPr>
            <w:r>
              <w:rPr>
                <w:rFonts w:hint="eastAsia" w:ascii="楷体" w:hAnsi="楷体" w:eastAsia="楷体"/>
                <w:szCs w:val="21"/>
              </w:rPr>
              <w:t>GB1094.3-2003电力变压器第三部分绝缘</w:t>
            </w:r>
          </w:p>
          <w:p>
            <w:pPr>
              <w:rPr>
                <w:rFonts w:ascii="楷体" w:hAnsi="楷体" w:eastAsia="楷体"/>
                <w:szCs w:val="21"/>
              </w:rPr>
            </w:pPr>
            <w:r>
              <w:rPr>
                <w:rFonts w:hint="eastAsia" w:ascii="楷体" w:hAnsi="楷体" w:eastAsia="楷体"/>
                <w:szCs w:val="21"/>
              </w:rPr>
              <w:t>GB/T1094.4-2005电力变压器第四部分雷电冲击</w:t>
            </w:r>
          </w:p>
          <w:p>
            <w:pPr>
              <w:rPr>
                <w:rFonts w:ascii="楷体" w:hAnsi="楷体" w:eastAsia="楷体"/>
                <w:szCs w:val="21"/>
              </w:rPr>
            </w:pPr>
            <w:r>
              <w:rPr>
                <w:rFonts w:hint="eastAsia" w:ascii="楷体" w:hAnsi="楷体" w:eastAsia="楷体"/>
                <w:szCs w:val="21"/>
              </w:rPr>
              <w:t>GB1094.5-2008  电力变压器第五部分 短路</w:t>
            </w:r>
          </w:p>
          <w:p>
            <w:pPr>
              <w:rPr>
                <w:rFonts w:ascii="楷体" w:hAnsi="楷体" w:eastAsia="楷体"/>
                <w:szCs w:val="21"/>
              </w:rPr>
            </w:pPr>
            <w:r>
              <w:rPr>
                <w:rFonts w:hint="eastAsia" w:ascii="楷体" w:hAnsi="楷体" w:eastAsia="楷体"/>
                <w:szCs w:val="21"/>
              </w:rPr>
              <w:t>GB1094.10-2003  电力变压器第十部分 声级测定</w:t>
            </w:r>
          </w:p>
          <w:p>
            <w:pPr>
              <w:rPr>
                <w:rFonts w:ascii="楷体" w:hAnsi="楷体" w:eastAsia="楷体"/>
                <w:szCs w:val="21"/>
              </w:rPr>
            </w:pPr>
            <w:r>
              <w:rPr>
                <w:rFonts w:hint="eastAsia" w:ascii="楷体" w:hAnsi="楷体" w:eastAsia="楷体"/>
                <w:szCs w:val="21"/>
              </w:rPr>
              <w:t>JB/T501-2006   电力变压器试验导则</w:t>
            </w:r>
          </w:p>
          <w:p>
            <w:pPr>
              <w:rPr>
                <w:rFonts w:ascii="楷体" w:hAnsi="楷体" w:eastAsia="楷体"/>
                <w:szCs w:val="21"/>
              </w:rPr>
            </w:pPr>
            <w:r>
              <w:rPr>
                <w:rFonts w:hint="eastAsia" w:ascii="楷体" w:hAnsi="楷体" w:eastAsia="楷体"/>
                <w:szCs w:val="21"/>
              </w:rPr>
              <w:t>GB/T25438-2010三相油浸式立体卷铁心配电变压器技术参数和要求</w:t>
            </w:r>
          </w:p>
          <w:p>
            <w:pPr>
              <w:rPr>
                <w:rFonts w:ascii="楷体" w:hAnsi="楷体" w:eastAsia="楷体"/>
                <w:szCs w:val="21"/>
              </w:rPr>
            </w:pPr>
            <w:r>
              <w:rPr>
                <w:rFonts w:hint="eastAsia" w:ascii="楷体" w:hAnsi="楷体" w:eastAsia="楷体"/>
                <w:szCs w:val="21"/>
              </w:rPr>
              <w:t>2、变压器冷却控制柜、端子箱</w:t>
            </w:r>
          </w:p>
          <w:p>
            <w:pPr>
              <w:rPr>
                <w:rFonts w:ascii="楷体" w:hAnsi="楷体" w:eastAsia="楷体"/>
                <w:szCs w:val="21"/>
              </w:rPr>
            </w:pPr>
            <w:r>
              <w:rPr>
                <w:rFonts w:hint="eastAsia" w:ascii="楷体" w:hAnsi="楷体" w:eastAsia="楷体"/>
                <w:szCs w:val="21"/>
              </w:rPr>
              <w:t>GB/T 7261-2008 继电保护和安全自动装置基本试验方法</w:t>
            </w:r>
          </w:p>
          <w:p>
            <w:pPr>
              <w:rPr>
                <w:rFonts w:ascii="楷体" w:hAnsi="楷体" w:eastAsia="楷体"/>
                <w:szCs w:val="21"/>
              </w:rPr>
            </w:pPr>
            <w:r>
              <w:rPr>
                <w:rFonts w:hint="eastAsia" w:ascii="楷体" w:hAnsi="楷体" w:eastAsia="楷体"/>
                <w:szCs w:val="21"/>
              </w:rPr>
              <w:t>GB/T 14598.2-2011 量度继电器和保护装置 第1部分：通用要求</w:t>
            </w:r>
          </w:p>
          <w:p>
            <w:pPr>
              <w:rPr>
                <w:rFonts w:ascii="楷体" w:hAnsi="楷体" w:eastAsia="楷体"/>
                <w:szCs w:val="21"/>
              </w:rPr>
            </w:pPr>
            <w:r>
              <w:rPr>
                <w:rFonts w:hint="eastAsia" w:ascii="楷体" w:hAnsi="楷体" w:eastAsia="楷体"/>
                <w:szCs w:val="21"/>
              </w:rPr>
              <w:t>Q/ZZ 06-2016 ZZ-BFK  智能风冷控制柜（判定依据）</w:t>
            </w:r>
          </w:p>
          <w:p>
            <w:pPr>
              <w:rPr>
                <w:rFonts w:ascii="楷体" w:hAnsi="楷体" w:eastAsia="楷体"/>
                <w:szCs w:val="21"/>
              </w:rPr>
            </w:pPr>
            <w:r>
              <w:rPr>
                <w:rFonts w:hint="eastAsia" w:ascii="楷体" w:hAnsi="楷体" w:eastAsia="楷体"/>
                <w:szCs w:val="21"/>
              </w:rPr>
              <w:t>3.电力金具</w:t>
            </w:r>
          </w:p>
          <w:p>
            <w:pPr>
              <w:rPr>
                <w:rFonts w:ascii="楷体" w:hAnsi="楷体" w:eastAsia="楷体"/>
                <w:szCs w:val="21"/>
              </w:rPr>
            </w:pPr>
            <w:r>
              <w:rPr>
                <w:rFonts w:ascii="楷体" w:hAnsi="楷体" w:eastAsia="楷体"/>
                <w:szCs w:val="21"/>
              </w:rPr>
              <w:t xml:space="preserve"> GB/T2314-2008</w:t>
            </w:r>
            <w:r>
              <w:rPr>
                <w:rFonts w:hint="eastAsia" w:ascii="楷体" w:hAnsi="楷体" w:eastAsia="楷体"/>
                <w:szCs w:val="21"/>
              </w:rPr>
              <w:t>《电力金具通用技术条件》</w:t>
            </w:r>
          </w:p>
          <w:p>
            <w:pPr>
              <w:rPr>
                <w:rFonts w:ascii="楷体" w:hAnsi="楷体" w:eastAsia="楷体"/>
                <w:szCs w:val="21"/>
              </w:rPr>
            </w:pPr>
            <w:r>
              <w:rPr>
                <w:rFonts w:ascii="楷体" w:hAnsi="楷体" w:eastAsia="楷体"/>
                <w:szCs w:val="21"/>
              </w:rPr>
              <w:t>GB/T2315-2008</w:t>
            </w:r>
            <w:r>
              <w:rPr>
                <w:rFonts w:hint="eastAsia" w:ascii="楷体" w:hAnsi="楷体" w:eastAsia="楷体"/>
                <w:szCs w:val="21"/>
              </w:rPr>
              <w:t xml:space="preserve">《电力金具 </w:t>
            </w:r>
            <w:r>
              <w:rPr>
                <w:rFonts w:ascii="楷体" w:hAnsi="楷体" w:eastAsia="楷体"/>
                <w:szCs w:val="21"/>
              </w:rPr>
              <w:t xml:space="preserve">  </w:t>
            </w:r>
            <w:r>
              <w:rPr>
                <w:rFonts w:hint="eastAsia" w:ascii="楷体" w:hAnsi="楷体" w:eastAsia="楷体"/>
                <w:szCs w:val="21"/>
              </w:rPr>
              <w:t>标称破坏载荷系列及连接形式尺寸》</w:t>
            </w:r>
          </w:p>
          <w:p>
            <w:pPr>
              <w:rPr>
                <w:rFonts w:ascii="楷体" w:hAnsi="楷体" w:eastAsia="楷体"/>
                <w:szCs w:val="21"/>
              </w:rPr>
            </w:pPr>
            <w:r>
              <w:rPr>
                <w:rFonts w:ascii="楷体" w:hAnsi="楷体" w:eastAsia="楷体"/>
                <w:szCs w:val="21"/>
              </w:rPr>
              <w:t>GB/T2317.1-2008</w:t>
            </w:r>
            <w:r>
              <w:rPr>
                <w:rFonts w:hint="eastAsia" w:ascii="楷体" w:hAnsi="楷体" w:eastAsia="楷体"/>
                <w:szCs w:val="21"/>
              </w:rPr>
              <w:t xml:space="preserve">《电力金具试验方法第1部分 </w:t>
            </w:r>
            <w:r>
              <w:rPr>
                <w:rFonts w:ascii="楷体" w:hAnsi="楷体" w:eastAsia="楷体"/>
                <w:szCs w:val="21"/>
              </w:rPr>
              <w:t xml:space="preserve"> </w:t>
            </w:r>
            <w:r>
              <w:rPr>
                <w:rFonts w:hint="eastAsia" w:ascii="楷体" w:hAnsi="楷体" w:eastAsia="楷体"/>
                <w:szCs w:val="21"/>
              </w:rPr>
              <w:t>机械实验》</w:t>
            </w:r>
          </w:p>
          <w:p>
            <w:pPr>
              <w:rPr>
                <w:rFonts w:ascii="楷体" w:hAnsi="楷体" w:eastAsia="楷体"/>
                <w:szCs w:val="21"/>
              </w:rPr>
            </w:pPr>
            <w:r>
              <w:rPr>
                <w:rFonts w:ascii="楷体" w:hAnsi="楷体" w:eastAsia="楷体"/>
                <w:szCs w:val="21"/>
              </w:rPr>
              <w:t>GB/T2317.2-2008</w:t>
            </w:r>
            <w:r>
              <w:rPr>
                <w:rFonts w:hint="eastAsia" w:ascii="楷体" w:hAnsi="楷体" w:eastAsia="楷体"/>
                <w:szCs w:val="21"/>
              </w:rPr>
              <w:t>《电力金具试验方法第</w:t>
            </w:r>
            <w:r>
              <w:rPr>
                <w:rFonts w:ascii="楷体" w:hAnsi="楷体" w:eastAsia="楷体"/>
                <w:szCs w:val="21"/>
              </w:rPr>
              <w:t>2</w:t>
            </w:r>
            <w:r>
              <w:rPr>
                <w:rFonts w:hint="eastAsia" w:ascii="楷体" w:hAnsi="楷体" w:eastAsia="楷体"/>
                <w:szCs w:val="21"/>
              </w:rPr>
              <w:t xml:space="preserve">部分 </w:t>
            </w:r>
            <w:r>
              <w:rPr>
                <w:rFonts w:ascii="楷体" w:hAnsi="楷体" w:eastAsia="楷体"/>
                <w:szCs w:val="21"/>
              </w:rPr>
              <w:t xml:space="preserve"> </w:t>
            </w:r>
            <w:r>
              <w:rPr>
                <w:rFonts w:hint="eastAsia" w:ascii="楷体" w:hAnsi="楷体" w:eastAsia="楷体"/>
                <w:szCs w:val="21"/>
              </w:rPr>
              <w:t>电晕和无线电干扰试验》</w:t>
            </w:r>
          </w:p>
          <w:p>
            <w:pPr>
              <w:rPr>
                <w:rFonts w:ascii="楷体" w:hAnsi="楷体" w:eastAsia="楷体"/>
                <w:szCs w:val="21"/>
              </w:rPr>
            </w:pPr>
            <w:r>
              <w:rPr>
                <w:rFonts w:ascii="楷体" w:hAnsi="楷体" w:eastAsia="楷体"/>
                <w:szCs w:val="21"/>
              </w:rPr>
              <w:t>GB/T2317.3-2008</w:t>
            </w:r>
            <w:r>
              <w:rPr>
                <w:rFonts w:hint="eastAsia" w:ascii="楷体" w:hAnsi="楷体" w:eastAsia="楷体"/>
                <w:szCs w:val="21"/>
              </w:rPr>
              <w:t>《电力金具试验方法第</w:t>
            </w:r>
            <w:r>
              <w:rPr>
                <w:rFonts w:ascii="楷体" w:hAnsi="楷体" w:eastAsia="楷体"/>
                <w:szCs w:val="21"/>
              </w:rPr>
              <w:t>3</w:t>
            </w:r>
            <w:r>
              <w:rPr>
                <w:rFonts w:hint="eastAsia" w:ascii="楷体" w:hAnsi="楷体" w:eastAsia="楷体"/>
                <w:szCs w:val="21"/>
              </w:rPr>
              <w:t xml:space="preserve">部分 </w:t>
            </w:r>
            <w:r>
              <w:rPr>
                <w:rFonts w:ascii="楷体" w:hAnsi="楷体" w:eastAsia="楷体"/>
                <w:szCs w:val="21"/>
              </w:rPr>
              <w:t xml:space="preserve"> </w:t>
            </w:r>
            <w:r>
              <w:rPr>
                <w:rFonts w:hint="eastAsia" w:ascii="楷体" w:hAnsi="楷体" w:eastAsia="楷体"/>
                <w:szCs w:val="21"/>
              </w:rPr>
              <w:t>热循环试验》</w:t>
            </w:r>
          </w:p>
          <w:p>
            <w:pPr>
              <w:rPr>
                <w:rFonts w:ascii="楷体" w:hAnsi="楷体" w:eastAsia="楷体"/>
                <w:szCs w:val="21"/>
              </w:rPr>
            </w:pPr>
            <w:r>
              <w:rPr>
                <w:rFonts w:ascii="楷体" w:hAnsi="楷体" w:eastAsia="楷体"/>
                <w:szCs w:val="21"/>
              </w:rPr>
              <w:t>GB/T2317.4-2008</w:t>
            </w:r>
            <w:r>
              <w:rPr>
                <w:rFonts w:hint="eastAsia" w:ascii="楷体" w:hAnsi="楷体" w:eastAsia="楷体"/>
                <w:szCs w:val="21"/>
              </w:rPr>
              <w:t>《电力金具试验方法第</w:t>
            </w:r>
            <w:r>
              <w:rPr>
                <w:rFonts w:ascii="楷体" w:hAnsi="楷体" w:eastAsia="楷体"/>
                <w:szCs w:val="21"/>
              </w:rPr>
              <w:t>4</w:t>
            </w:r>
            <w:r>
              <w:rPr>
                <w:rFonts w:hint="eastAsia" w:ascii="楷体" w:hAnsi="楷体" w:eastAsia="楷体"/>
                <w:szCs w:val="21"/>
              </w:rPr>
              <w:t xml:space="preserve">部分 </w:t>
            </w:r>
            <w:r>
              <w:rPr>
                <w:rFonts w:ascii="楷体" w:hAnsi="楷体" w:eastAsia="楷体"/>
                <w:szCs w:val="21"/>
              </w:rPr>
              <w:t xml:space="preserve"> </w:t>
            </w:r>
            <w:r>
              <w:rPr>
                <w:rFonts w:hint="eastAsia" w:ascii="楷体" w:hAnsi="楷体" w:eastAsia="楷体"/>
                <w:szCs w:val="21"/>
              </w:rPr>
              <w:t>验收规则》</w:t>
            </w:r>
          </w:p>
          <w:p>
            <w:pPr>
              <w:rPr>
                <w:rFonts w:ascii="楷体" w:hAnsi="楷体" w:eastAsia="楷体"/>
                <w:szCs w:val="21"/>
              </w:rPr>
            </w:pPr>
            <w:r>
              <w:rPr>
                <w:rFonts w:hint="eastAsia" w:ascii="楷体" w:hAnsi="楷体" w:eastAsia="楷体"/>
                <w:szCs w:val="21"/>
              </w:rPr>
              <w:t>4.标识牌</w:t>
            </w:r>
          </w:p>
          <w:p>
            <w:pPr>
              <w:rPr>
                <w:rFonts w:ascii="楷体" w:hAnsi="楷体" w:eastAsia="楷体"/>
                <w:szCs w:val="21"/>
              </w:rPr>
            </w:pPr>
            <w:r>
              <w:rPr>
                <w:rFonts w:ascii="楷体" w:hAnsi="楷体" w:eastAsia="楷体"/>
                <w:szCs w:val="21"/>
              </w:rPr>
              <w:t xml:space="preserve">GB/T </w:t>
            </w:r>
            <w:r>
              <w:rPr>
                <w:rFonts w:hint="eastAsia" w:ascii="楷体" w:hAnsi="楷体" w:eastAsia="楷体"/>
                <w:szCs w:val="21"/>
              </w:rPr>
              <w:t>13306-2011《标牌》</w:t>
            </w:r>
          </w:p>
          <w:p>
            <w:pPr>
              <w:rPr>
                <w:rFonts w:ascii="楷体" w:hAnsi="楷体" w:eastAsia="楷体"/>
                <w:szCs w:val="21"/>
              </w:rPr>
            </w:pPr>
            <w:r>
              <w:rPr>
                <w:rFonts w:hint="eastAsia" w:ascii="楷体" w:hAnsi="楷体" w:eastAsia="楷体"/>
                <w:szCs w:val="21"/>
              </w:rPr>
              <w:t>5.安全工器具</w:t>
            </w:r>
          </w:p>
          <w:p>
            <w:pPr>
              <w:rPr>
                <w:rFonts w:ascii="楷体" w:hAnsi="楷体" w:eastAsia="楷体"/>
                <w:szCs w:val="21"/>
              </w:rPr>
            </w:pPr>
            <w:r>
              <w:rPr>
                <w:rFonts w:ascii="楷体" w:hAnsi="楷体" w:eastAsia="楷体"/>
                <w:szCs w:val="21"/>
              </w:rPr>
              <w:t>DL</w:t>
            </w:r>
            <w:r>
              <w:rPr>
                <w:rFonts w:hint="eastAsia" w:ascii="楷体" w:hAnsi="楷体" w:eastAsia="楷体"/>
                <w:szCs w:val="21"/>
              </w:rPr>
              <w:t>/</w:t>
            </w:r>
            <w:r>
              <w:rPr>
                <w:rFonts w:ascii="楷体" w:hAnsi="楷体" w:eastAsia="楷体"/>
                <w:szCs w:val="21"/>
              </w:rPr>
              <w:t>T1145-2009</w:t>
            </w:r>
            <w:r>
              <w:rPr>
                <w:rFonts w:hint="eastAsia" w:ascii="楷体" w:hAnsi="楷体" w:eastAsia="楷体"/>
                <w:szCs w:val="21"/>
              </w:rPr>
              <w:t>《绝缘工具柜》</w:t>
            </w:r>
          </w:p>
          <w:p>
            <w:pPr>
              <w:rPr>
                <w:rFonts w:ascii="楷体" w:hAnsi="楷体" w:eastAsia="楷体"/>
                <w:szCs w:val="21"/>
              </w:rPr>
            </w:pPr>
            <w:r>
              <w:rPr>
                <w:rFonts w:hint="eastAsia" w:ascii="楷体" w:hAnsi="楷体" w:eastAsia="楷体"/>
                <w:szCs w:val="21"/>
              </w:rPr>
              <w:t>D</w:t>
            </w:r>
            <w:r>
              <w:rPr>
                <w:rFonts w:ascii="楷体" w:hAnsi="楷体" w:eastAsia="楷体"/>
                <w:szCs w:val="21"/>
              </w:rPr>
              <w:t>L/T879-2004</w:t>
            </w:r>
            <w:r>
              <w:rPr>
                <w:rFonts w:hint="eastAsia" w:ascii="楷体" w:hAnsi="楷体" w:eastAsia="楷体"/>
                <w:szCs w:val="21"/>
              </w:rPr>
              <w:t>《带电作业用便携式接地和接地短路装置》</w:t>
            </w:r>
          </w:p>
          <w:p>
            <w:pPr>
              <w:rPr>
                <w:rFonts w:ascii="Times New Roman" w:hAnsi="Times New Roman" w:eastAsia="宋体" w:cs="Times New Roman"/>
                <w:b/>
                <w:color w:val="000000" w:themeColor="text1"/>
                <w:kern w:val="2"/>
                <w:sz w:val="20"/>
                <w:szCs w:val="20"/>
                <w:lang w:val="en-US" w:eastAsia="zh-CN" w:bidi="ar-SA"/>
              </w:rPr>
            </w:pPr>
            <w:r>
              <w:rPr>
                <w:rFonts w:ascii="楷体" w:hAnsi="楷体" w:eastAsia="楷体"/>
                <w:szCs w:val="21"/>
              </w:rPr>
              <w:t>DL</w:t>
            </w:r>
            <w:r>
              <w:rPr>
                <w:rFonts w:hint="eastAsia" w:ascii="楷体" w:hAnsi="楷体" w:eastAsia="楷体"/>
                <w:szCs w:val="21"/>
              </w:rPr>
              <w:t>/</w:t>
            </w:r>
            <w:r>
              <w:rPr>
                <w:rFonts w:ascii="楷体" w:hAnsi="楷体" w:eastAsia="楷体"/>
                <w:szCs w:val="21"/>
              </w:rPr>
              <w:t>T740-2014</w:t>
            </w:r>
            <w:r>
              <w:rPr>
                <w:rFonts w:hint="eastAsia" w:ascii="楷体" w:hAnsi="楷体" w:eastAsia="楷体"/>
                <w:szCs w:val="21"/>
              </w:rPr>
              <w:t>《电容验电器》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体系运行开始的2</w:t>
      </w:r>
      <w:r>
        <w:rPr>
          <w:b/>
          <w:color w:val="000000" w:themeColor="text1"/>
          <w:spacing w:val="-10"/>
          <w:szCs w:val="21"/>
        </w:rPr>
        <w:t>020</w:t>
      </w:r>
      <w:r>
        <w:rPr>
          <w:rFonts w:hint="eastAsia"/>
          <w:b/>
          <w:color w:val="000000" w:themeColor="text1"/>
          <w:spacing w:val="-10"/>
          <w:szCs w:val="21"/>
        </w:rPr>
        <w:t>年7月</w:t>
      </w:r>
      <w:bookmarkStart w:id="20" w:name="OLE_LINK1"/>
      <w:r>
        <w:rPr>
          <w:rFonts w:hint="eastAsia"/>
          <w:b/>
          <w:color w:val="000000" w:themeColor="text1"/>
          <w:spacing w:val="-10"/>
          <w:szCs w:val="21"/>
        </w:rPr>
        <w:t>1日</w:t>
      </w:r>
      <w:bookmarkEnd w:id="20"/>
      <w:r>
        <w:rPr>
          <w:rFonts w:hint="eastAsia"/>
          <w:b/>
          <w:color w:val="000000" w:themeColor="text1"/>
          <w:spacing w:val="-10"/>
          <w:szCs w:val="21"/>
        </w:rPr>
        <w:t>至2</w:t>
      </w:r>
      <w:r>
        <w:rPr>
          <w:b/>
          <w:color w:val="000000" w:themeColor="text1"/>
          <w:spacing w:val="-10"/>
          <w:szCs w:val="21"/>
        </w:rPr>
        <w:t>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月1</w:t>
      </w:r>
      <w:r>
        <w:rPr>
          <w:rFonts w:hint="eastAsia"/>
          <w:b/>
          <w:color w:val="000000" w:themeColor="text1"/>
          <w:spacing w:val="-10"/>
          <w:szCs w:val="21"/>
          <w:lang w:val="en-US" w:eastAsia="zh-CN"/>
        </w:rPr>
        <w:t>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sz w:val="20"/>
                <w:szCs w:val="20"/>
              </w:rPr>
            </w:pPr>
            <w:r>
              <w:rPr>
                <w:rFonts w:hint="eastAsia"/>
                <w:sz w:val="20"/>
                <w:szCs w:val="20"/>
              </w:rPr>
              <w:t>对国际、国内、地区和当地的各种法律法规、技术、竞争、市场、文化、社会和经济因素等进行了识别；编制了环境因素列表，具体如下：</w:t>
            </w:r>
          </w:p>
          <w:p>
            <w:pPr>
              <w:spacing w:line="240" w:lineRule="exact"/>
              <w:rPr>
                <w:sz w:val="20"/>
                <w:szCs w:val="20"/>
              </w:rPr>
            </w:pPr>
            <w:r>
              <w:rPr>
                <w:rFonts w:hint="eastAsia"/>
                <w:sz w:val="20"/>
                <w:szCs w:val="20"/>
              </w:rPr>
              <w:sym w:font="Wingdings 2" w:char="F098"/>
            </w:r>
            <w:r>
              <w:rPr>
                <w:rFonts w:hint="eastAsia"/>
                <w:sz w:val="20"/>
                <w:szCs w:val="20"/>
              </w:rPr>
              <w:t>内部条件：公司的价值观、产品和服务、战略方向、文化与能力；</w:t>
            </w:r>
          </w:p>
          <w:p>
            <w:pPr>
              <w:spacing w:line="240" w:lineRule="exact"/>
              <w:rPr>
                <w:sz w:val="20"/>
                <w:szCs w:val="20"/>
              </w:rPr>
            </w:pPr>
            <w:r>
              <w:rPr>
                <w:rFonts w:hint="eastAsia"/>
                <w:sz w:val="20"/>
                <w:szCs w:val="20"/>
              </w:rPr>
              <w:sym w:font="Wingdings 2" w:char="F098"/>
            </w:r>
            <w:r>
              <w:rPr>
                <w:rFonts w:hint="eastAsia"/>
                <w:sz w:val="20"/>
                <w:szCs w:val="20"/>
              </w:rPr>
              <w:t>外部环境：法律法规、社会文化、政治、技术、竞争力、水平气候、空气和水质量、资源的可获得性等相关因素；</w:t>
            </w:r>
          </w:p>
          <w:p>
            <w:pPr>
              <w:spacing w:line="240" w:lineRule="exact"/>
              <w:rPr>
                <w:sz w:val="20"/>
                <w:szCs w:val="20"/>
              </w:rPr>
            </w:pPr>
            <w:r>
              <w:rPr>
                <w:rFonts w:hint="eastAsia"/>
                <w:sz w:val="20"/>
                <w:szCs w:val="20"/>
              </w:rPr>
              <w:t>对这些内外部因素进行了SWOT分析并制定了应对措施和监视方法（一年一次）</w:t>
            </w:r>
          </w:p>
          <w:p>
            <w:pPr>
              <w:spacing w:line="240" w:lineRule="exact"/>
              <w:rPr>
                <w:b/>
                <w:color w:val="000000" w:themeColor="text1"/>
                <w:sz w:val="20"/>
                <w:szCs w:val="20"/>
              </w:rPr>
            </w:pPr>
            <w:r>
              <w:rPr>
                <w:rFonts w:hint="eastAsia"/>
                <w:sz w:val="20"/>
                <w:szCs w:val="20"/>
              </w:rPr>
              <w:t>通过定期的网站获取、顾客沟通、及定期内部总结等方式进行监视和评审。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widowControl/>
              <w:rPr>
                <w:color w:val="000000"/>
                <w:sz w:val="20"/>
                <w:szCs w:val="20"/>
              </w:rPr>
            </w:pPr>
            <w:r>
              <w:rPr>
                <w:rFonts w:hint="eastAsia"/>
                <w:color w:val="000000"/>
                <w:sz w:val="20"/>
                <w:szCs w:val="20"/>
              </w:rPr>
              <w:sym w:font="Wingdings 2" w:char="F098"/>
            </w:r>
            <w:r>
              <w:rPr>
                <w:rFonts w:hint="eastAsia"/>
                <w:color w:val="000000"/>
                <w:sz w:val="20"/>
                <w:szCs w:val="20"/>
              </w:rPr>
              <w:t>公司确定了与质量管理体系有关的相关方包括顾客、材料供应商、外包方、原材料供应商、工商行政管理部门、计量和安全管理部门、科技局、财政局、物流服务企业、第三方检测机构、海关等。</w:t>
            </w:r>
          </w:p>
          <w:p>
            <w:pPr>
              <w:rPr>
                <w:sz w:val="20"/>
                <w:szCs w:val="20"/>
              </w:rPr>
            </w:pPr>
            <w:r>
              <w:rPr>
                <w:rFonts w:hint="eastAsia"/>
                <w:sz w:val="20"/>
                <w:szCs w:val="20"/>
              </w:rPr>
              <w:sym w:font="Wingdings 2" w:char="F098"/>
            </w:r>
            <w:r>
              <w:rPr>
                <w:rFonts w:hint="eastAsia"/>
                <w:sz w:val="20"/>
                <w:szCs w:val="20"/>
              </w:rPr>
              <w:t>相关方对企业的要求有：遵守国家的现行法律法规、遵守国际惯例、保持有效的资质、产品不断更行换代、生产的产品节能环保，对环境无重大污染、量具定期检定、不断提高技术水平以及不断提高客户满意度等。</w:t>
            </w:r>
          </w:p>
          <w:p>
            <w:pPr>
              <w:spacing w:line="240" w:lineRule="exact"/>
              <w:rPr>
                <w:b/>
                <w:color w:val="000000" w:themeColor="text1"/>
                <w:sz w:val="20"/>
                <w:szCs w:val="20"/>
              </w:rPr>
            </w:pPr>
            <w:r>
              <w:rPr>
                <w:rFonts w:hint="eastAsia" w:ascii="宋体" w:hAnsi="宋体" w:cs="宋体"/>
                <w:sz w:val="20"/>
                <w:szCs w:val="20"/>
              </w:rPr>
              <w:sym w:font="Wingdings 2" w:char="F098"/>
            </w:r>
            <w:r>
              <w:rPr>
                <w:rFonts w:hint="eastAsia" w:ascii="宋体" w:hAnsi="宋体" w:cs="宋体"/>
                <w:sz w:val="20"/>
                <w:szCs w:val="20"/>
              </w:rPr>
              <w:t>对这些相关方监视和评审的方法有：动态的获取相关方的需求、期望，通过对比、评价等方法对相关方的需求和期望监视评审，以确定质量管理体系、产品设计生产服务相应的调整变更应对措施等。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rPr>
                <w:b/>
                <w:bCs/>
                <w:szCs w:val="21"/>
              </w:rPr>
            </w:pPr>
            <w:r>
              <w:rPr>
                <w:rFonts w:hint="eastAsia" w:ascii="宋体" w:hAnsi="宋体" w:cs="宋体"/>
                <w:sz w:val="20"/>
                <w:szCs w:val="20"/>
              </w:rPr>
              <w:sym w:font="Wingdings 2" w:char="F098"/>
            </w:r>
            <w:r>
              <w:rPr>
                <w:rFonts w:hint="eastAsia" w:ascii="宋体" w:hAnsi="宋体" w:cs="宋体"/>
                <w:sz w:val="20"/>
                <w:szCs w:val="20"/>
              </w:rPr>
              <w:t>质量手册明确了质量方针：</w:t>
            </w:r>
            <w:r>
              <w:rPr>
                <w:rFonts w:hint="eastAsia" w:ascii="宋体" w:hAnsi="宋体"/>
                <w:b/>
                <w:szCs w:val="21"/>
              </w:rPr>
              <w:t>顾客第一，优质服务，持续改进，顾客满意</w:t>
            </w:r>
            <w:r>
              <w:rPr>
                <w:rFonts w:hint="eastAsia"/>
                <w:b/>
                <w:bCs/>
                <w:szCs w:val="21"/>
              </w:rPr>
              <w:t>。</w:t>
            </w:r>
          </w:p>
          <w:p>
            <w:pPr>
              <w:spacing w:line="240" w:lineRule="exact"/>
              <w:rPr>
                <w:rFonts w:ascii="宋体" w:hAnsi="宋体" w:cs="宋体"/>
                <w:sz w:val="20"/>
                <w:szCs w:val="20"/>
              </w:rPr>
            </w:pPr>
            <w:r>
              <w:rPr>
                <w:rFonts w:hint="eastAsia" w:ascii="宋体" w:hAnsi="宋体" w:cs="宋体"/>
                <w:sz w:val="20"/>
                <w:szCs w:val="20"/>
              </w:rPr>
              <w:sym w:font="Wingdings 2" w:char="F098"/>
            </w:r>
            <w:r>
              <w:rPr>
                <w:rFonts w:hint="eastAsia" w:ascii="宋体" w:hAnsi="宋体" w:cs="宋体"/>
                <w:sz w:val="20"/>
                <w:szCs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pPr>
              <w:spacing w:line="240" w:lineRule="exact"/>
              <w:ind w:left="199" w:leftChars="95"/>
              <w:rPr>
                <w:b/>
                <w:color w:val="000000" w:themeColor="text1"/>
              </w:rPr>
            </w:pPr>
            <w:r>
              <w:rPr>
                <w:rFonts w:hint="eastAsia"/>
                <w:sz w:val="20"/>
                <w:szCs w:val="20"/>
              </w:rPr>
              <w:sym w:font="Wingdings 2" w:char="F098"/>
            </w:r>
            <w:r>
              <w:rPr>
                <w:rFonts w:hint="eastAsia"/>
                <w:sz w:val="20"/>
                <w:szCs w:val="20"/>
              </w:rPr>
              <w:t>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rPr>
                <w:rFonts w:ascii="宋体" w:hAnsi="宋体" w:cs="宋体"/>
              </w:rPr>
            </w:pPr>
            <w:r>
              <w:rPr>
                <w:rFonts w:hint="eastAsia" w:ascii="宋体" w:hAnsi="宋体" w:cs="宋体"/>
              </w:rPr>
              <w:sym w:font="Wingdings 2" w:char="F098"/>
            </w:r>
            <w:r>
              <w:rPr>
                <w:rFonts w:hint="eastAsia" w:ascii="宋体" w:hAnsi="宋体" w:cs="宋体"/>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p>
            <w:pPr>
              <w:spacing w:line="240" w:lineRule="exact"/>
              <w:rPr>
                <w:b/>
                <w:color w:val="000000" w:themeColor="text1"/>
              </w:rPr>
            </w:pPr>
            <w:r>
              <w:rPr>
                <w:rFonts w:ascii="宋体" w:hAnsi="宋体" w:cs="宋体"/>
              </w:rPr>
              <w:sym w:font="Wingdings 2" w:char="F098"/>
            </w:r>
            <w:r>
              <w:rPr>
                <w:rFonts w:ascii="宋体" w:hAnsi="宋体" w:cs="宋体"/>
              </w:rPr>
              <w:t>根据国内疫情策划了相应的应对措施：</w:t>
            </w:r>
            <w:r>
              <w:rPr>
                <w:rFonts w:hint="eastAsia" w:ascii="宋体" w:hAnsi="宋体" w:cs="宋体"/>
              </w:rPr>
              <w:t xml:space="preserve"> </w:t>
            </w:r>
            <w:r>
              <w:rPr>
                <w:rFonts w:ascii="宋体" w:hAnsi="宋体" w:cs="宋体"/>
              </w:rPr>
              <w:t>车间每天消毒两次、职工上班戴口罩、上下班消毒液洗手等。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sz w:val="20"/>
                <w:szCs w:val="20"/>
                <w:u w:val="single"/>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color w:val="000000"/>
                <w:sz w:val="20"/>
                <w:szCs w:val="20"/>
              </w:rPr>
              <w:t>变压器：高低压线圈绕制，</w:t>
            </w:r>
            <w:r>
              <w:rPr>
                <w:rFonts w:hint="eastAsia" w:ascii="宋体" w:hAnsi="宋体" w:cs="宋体"/>
                <w:bCs/>
                <w:kern w:val="0"/>
                <w:sz w:val="20"/>
                <w:szCs w:val="20"/>
              </w:rPr>
              <w:t>风冷控制柜:调试检验，绝缘横担：检验，其他产品：检验</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color w:val="000000"/>
                <w:sz w:val="20"/>
                <w:szCs w:val="20"/>
              </w:rPr>
              <w:t>高低压线圈绕制</w:t>
            </w:r>
          </w:p>
          <w:p>
            <w:pPr>
              <w:tabs>
                <w:tab w:val="left" w:pos="540"/>
              </w:tabs>
              <w:spacing w:line="300" w:lineRule="exact"/>
              <w:ind w:left="21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sz w:val="20"/>
                <w:szCs w:val="20"/>
                <w:u w:val="single"/>
              </w:rPr>
              <w:t>不适用条款：GB/T19001-2016标准的8.3条款。</w:t>
            </w:r>
            <w:r>
              <w:rPr>
                <w:rFonts w:hint="eastAsia" w:ascii="宋体" w:hAnsi="宋体"/>
                <w:sz w:val="20"/>
                <w:szCs w:val="20"/>
                <w:u w:val="single"/>
              </w:rPr>
              <w:t>公司目前所生产产品依据客户要求、国家标准、行业规范生产检验，工艺成熟，技术稳定。本企业确保不因删减影响本企业提供满足顾客和适用的法规要求的产品的能力，也不免除本企业相关责任。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 xml:space="preserve">企业质量目标：                              </w:t>
            </w:r>
          </w:p>
          <w:p>
            <w:pPr>
              <w:rPr>
                <w:rFonts w:ascii="楷体" w:hAnsi="楷体" w:eastAsia="楷体"/>
                <w:szCs w:val="20"/>
              </w:rPr>
            </w:pPr>
            <w:r>
              <w:rPr>
                <w:rFonts w:hint="eastAsia" w:ascii="楷体" w:hAnsi="楷体" w:eastAsia="楷体"/>
                <w:szCs w:val="20"/>
              </w:rPr>
              <w:t>1、一次性交验合格率≥99.5%；</w:t>
            </w:r>
          </w:p>
          <w:p>
            <w:pPr>
              <w:rPr>
                <w:rFonts w:ascii="楷体" w:hAnsi="楷体" w:eastAsia="楷体"/>
                <w:szCs w:val="20"/>
              </w:rPr>
            </w:pPr>
            <w:r>
              <w:rPr>
                <w:rFonts w:hint="eastAsia" w:ascii="楷体" w:hAnsi="楷体" w:eastAsia="楷体"/>
                <w:szCs w:val="20"/>
              </w:rPr>
              <w:t>2、顾客满意度≥98%；</w:t>
            </w:r>
          </w:p>
          <w:p>
            <w:pPr>
              <w:rPr>
                <w:rFonts w:ascii="楷体" w:hAnsi="楷体" w:eastAsia="楷体"/>
                <w:szCs w:val="20"/>
              </w:rPr>
            </w:pPr>
            <w:r>
              <w:rPr>
                <w:rFonts w:hint="eastAsia" w:ascii="楷体" w:hAnsi="楷体" w:eastAsia="楷体"/>
                <w:szCs w:val="20"/>
              </w:rPr>
              <w:sym w:font="Wingdings 2" w:char="F098"/>
            </w:r>
            <w:r>
              <w:rPr>
                <w:rFonts w:hint="eastAsia" w:ascii="楷体" w:hAnsi="楷体" w:eastAsia="楷体"/>
                <w:szCs w:val="20"/>
              </w:rPr>
              <w:t>质量目标满足产品要求（国家标准及客户要求）；</w:t>
            </w:r>
          </w:p>
          <w:p>
            <w:pPr>
              <w:rPr>
                <w:rFonts w:ascii="楷体" w:hAnsi="楷体" w:eastAsia="楷体"/>
                <w:szCs w:val="20"/>
                <w:highlight w:val="yellow"/>
              </w:rPr>
            </w:pPr>
            <w:r>
              <w:rPr>
                <w:rFonts w:hint="eastAsia" w:ascii="楷体" w:hAnsi="楷体" w:eastAsia="楷体"/>
                <w:szCs w:val="20"/>
              </w:rPr>
              <w:sym w:font="Wingdings 2" w:char="F098"/>
            </w:r>
            <w:r>
              <w:rPr>
                <w:rFonts w:hint="eastAsia" w:ascii="楷体" w:hAnsi="楷体" w:eastAsia="楷体"/>
                <w:szCs w:val="20"/>
              </w:rPr>
              <w:t>质量目标进行层层分解，落实到责任部门，每季度末考核。</w:t>
            </w:r>
          </w:p>
          <w:p>
            <w:pPr>
              <w:rPr>
                <w:rFonts w:ascii="楷体" w:hAnsi="楷体" w:eastAsia="楷体"/>
                <w:szCs w:val="20"/>
              </w:rPr>
            </w:pPr>
            <w:r>
              <w:rPr>
                <w:rFonts w:hint="eastAsia" w:ascii="楷体" w:hAnsi="楷体" w:eastAsia="楷体"/>
                <w:szCs w:val="20"/>
              </w:rPr>
              <w:t>--查202</w:t>
            </w:r>
            <w:r>
              <w:rPr>
                <w:rFonts w:hint="eastAsia" w:ascii="楷体" w:hAnsi="楷体" w:eastAsia="楷体"/>
                <w:szCs w:val="20"/>
                <w:lang w:val="en-US" w:eastAsia="zh-CN"/>
              </w:rPr>
              <w:t>1</w:t>
            </w:r>
            <w:r>
              <w:rPr>
                <w:rFonts w:hint="eastAsia" w:ascii="楷体" w:hAnsi="楷体" w:eastAsia="楷体"/>
                <w:szCs w:val="20"/>
              </w:rPr>
              <w:t>年</w:t>
            </w:r>
            <w:r>
              <w:rPr>
                <w:rFonts w:hint="eastAsia" w:ascii="楷体" w:hAnsi="楷体" w:eastAsia="楷体"/>
                <w:szCs w:val="20"/>
                <w:lang w:val="en-US" w:eastAsia="zh-CN"/>
              </w:rPr>
              <w:t>1</w:t>
            </w:r>
            <w:r>
              <w:rPr>
                <w:rFonts w:hint="eastAsia" w:ascii="楷体" w:hAnsi="楷体" w:eastAsia="楷体"/>
                <w:szCs w:val="20"/>
              </w:rPr>
              <w:t>季度考核情况：考核日期：202</w:t>
            </w:r>
            <w:r>
              <w:rPr>
                <w:rFonts w:ascii="楷体" w:hAnsi="楷体" w:eastAsia="楷体"/>
                <w:szCs w:val="20"/>
              </w:rPr>
              <w:t>1.</w:t>
            </w:r>
            <w:r>
              <w:rPr>
                <w:rFonts w:hint="eastAsia" w:ascii="楷体" w:hAnsi="楷体" w:eastAsia="楷体"/>
                <w:szCs w:val="20"/>
                <w:lang w:val="en-US" w:eastAsia="zh-CN"/>
              </w:rPr>
              <w:t>4</w:t>
            </w:r>
            <w:r>
              <w:rPr>
                <w:rFonts w:ascii="楷体" w:hAnsi="楷体" w:eastAsia="楷体"/>
                <w:szCs w:val="20"/>
              </w:rPr>
              <w:t>.4</w:t>
            </w:r>
            <w:r>
              <w:rPr>
                <w:rFonts w:hint="eastAsia" w:ascii="楷体" w:hAnsi="楷体" w:eastAsia="楷体"/>
                <w:szCs w:val="20"/>
              </w:rPr>
              <w:t xml:space="preserve"> 考核人：翁苗苗</w:t>
            </w:r>
          </w:p>
          <w:p>
            <w:pPr>
              <w:rPr>
                <w:rFonts w:ascii="楷体" w:hAnsi="楷体" w:eastAsia="楷体"/>
                <w:szCs w:val="20"/>
              </w:rPr>
            </w:pPr>
            <w:r>
              <w:rPr>
                <w:rFonts w:hint="eastAsia" w:ascii="楷体" w:hAnsi="楷体" w:eastAsia="楷体"/>
                <w:szCs w:val="20"/>
              </w:rPr>
              <w:t>1、一次性交验合格率≥100%；</w:t>
            </w:r>
          </w:p>
          <w:p>
            <w:pPr>
              <w:spacing w:line="240" w:lineRule="exact"/>
              <w:rPr>
                <w:rFonts w:ascii="宋体" w:hAnsi="宋体"/>
                <w:b/>
                <w:color w:val="000000" w:themeColor="text1"/>
              </w:rPr>
            </w:pPr>
            <w:r>
              <w:rPr>
                <w:rFonts w:hint="eastAsia" w:ascii="楷体" w:hAnsi="楷体" w:eastAsia="楷体"/>
                <w:szCs w:val="20"/>
              </w:rPr>
              <w:t>2、顾客满意度≥</w:t>
            </w:r>
            <w:r>
              <w:rPr>
                <w:rFonts w:ascii="楷体" w:hAnsi="楷体" w:eastAsia="楷体"/>
                <w:szCs w:val="20"/>
              </w:rPr>
              <w:t>100</w:t>
            </w:r>
            <w:r>
              <w:rPr>
                <w:rFonts w:hint="eastAsia" w:ascii="楷体" w:hAnsi="楷体" w:eastAsia="楷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cs="宋体"/>
                <w:sz w:val="20"/>
                <w:szCs w:val="20"/>
              </w:rPr>
              <w:t>管理体系文件由行政部组织编写，总经理批准发布实施，行政部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行政部根据管理体系要求设计了空白表格，按照需求发放，由使用人员填写记录并保存，行政部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楷体" w:hAnsi="楷体" w:eastAsia="楷体"/>
              </w:rPr>
              <w:t>企业目前在职员工</w:t>
            </w:r>
            <w:r>
              <w:rPr>
                <w:rFonts w:ascii="楷体" w:hAnsi="楷体" w:eastAsia="楷体"/>
              </w:rPr>
              <w:t>15</w:t>
            </w:r>
            <w:r>
              <w:rPr>
                <w:rFonts w:hint="eastAsia" w:ascii="楷体" w:hAnsi="楷体" w:eastAsia="楷体"/>
              </w:rPr>
              <w:t>人，职工队伍相对稳定，均在相关企业工作近6年，实践经验丰富；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配备有办公室、会议室、车间、仓库等基础设施，办公主要设施：电脑、电话、一体机等，满足办公需求。</w:t>
            </w:r>
          </w:p>
          <w:p>
            <w:pPr>
              <w:spacing w:line="240" w:lineRule="exact"/>
              <w:rPr>
                <w:rFonts w:ascii="宋体" w:hAnsi="宋体"/>
                <w:b/>
                <w:color w:val="000000" w:themeColor="text1"/>
                <w:sz w:val="20"/>
                <w:szCs w:val="20"/>
              </w:rPr>
            </w:pPr>
            <w:r>
              <w:rPr>
                <w:rFonts w:hint="eastAsia" w:asciiTheme="minorEastAsia" w:hAnsiTheme="minorEastAsia" w:eastAsiaTheme="minorEastAsia"/>
                <w:sz w:val="20"/>
                <w:szCs w:val="20"/>
              </w:rPr>
              <w:t>主要生产设备： 箱绕机、高压自动绕线机、低压绕线机、鼓风恒温干燥箱、台式砂轮机、剪板机、冲床、台钻、折弯机、母线加工机、压接机、母线加工机、电脑剥离机、台式多用钻床等,满足生产需求。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过程运行环境</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t>工作环境：办公区域面积500平米； 布局合理，场所卫生干净整洁，工作环境良好；</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t xml:space="preserve">            车间：面积约2500平米，库房1000平米，产品分类排放，设备摆放有序。</w:t>
            </w:r>
          </w:p>
          <w:p>
            <w:pPr>
              <w:spacing w:line="240" w:lineRule="exact"/>
              <w:rPr>
                <w:rFonts w:ascii="宋体" w:hAnsi="宋体"/>
                <w:b/>
                <w:color w:val="000000" w:themeColor="text1"/>
                <w:sz w:val="20"/>
                <w:szCs w:val="20"/>
              </w:rPr>
            </w:pPr>
            <w:r>
              <w:rPr>
                <w:rFonts w:asciiTheme="minorEastAsia" w:hAnsiTheme="minorEastAsia" w:eastAsiaTheme="minorEastAsia"/>
                <w:sz w:val="20"/>
                <w:szCs w:val="20"/>
              </w:rPr>
              <w:t>环境满足需求。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监视和测量资源</w:t>
            </w:r>
          </w:p>
          <w:p>
            <w:pPr>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建立有《监视和测量设备台帐》监视测量仪器有：绝缘电阻表 、绝缘电阻测试仪、万用表、游标卡尺 、耐压测试仪 、接地电阻测试仪、钢直尺、钢卷尺等多种监视测量设备，满足检验需求；</w:t>
            </w:r>
          </w:p>
          <w:p>
            <w:pPr>
              <w:spacing w:line="276" w:lineRule="auto"/>
              <w:ind w:right="17" w:rightChars="8"/>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没有用于监测的计算机软件。</w:t>
            </w:r>
          </w:p>
          <w:p>
            <w:pPr>
              <w:spacing w:line="276" w:lineRule="auto"/>
              <w:ind w:right="17" w:rightChars="8"/>
              <w:rPr>
                <w:rFonts w:asciiTheme="minorEastAsia" w:hAnsiTheme="minorEastAsia" w:eastAsiaTheme="minorEastAsia"/>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检测设备配置能满足产品检测需求。</w:t>
            </w:r>
          </w:p>
          <w:p>
            <w:pPr>
              <w:spacing w:line="240" w:lineRule="exact"/>
              <w:rPr>
                <w:rFonts w:ascii="宋体" w:hAnsi="宋体"/>
                <w:b/>
                <w:color w:val="000000" w:themeColor="text1"/>
                <w:sz w:val="20"/>
                <w:szCs w:val="20"/>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该公司使用的专业监视测量仪器，定期检测，一年一次。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sz w:val="20"/>
                <w:szCs w:val="20"/>
              </w:rPr>
            </w:pPr>
            <w:r>
              <w:rPr>
                <w:rFonts w:hint="eastAsia"/>
                <w:sz w:val="20"/>
                <w:szCs w:val="20"/>
              </w:rPr>
              <w:sym w:font="Wingdings 2" w:char="F098"/>
            </w:r>
            <w:r>
              <w:rPr>
                <w:rFonts w:hint="eastAsia"/>
                <w:sz w:val="20"/>
                <w:szCs w:val="20"/>
              </w:rPr>
              <w:t>组织运行所需的知识从内、外部来源获取的有：</w:t>
            </w:r>
          </w:p>
          <w:p>
            <w:pPr>
              <w:pStyle w:val="10"/>
              <w:numPr>
                <w:ilvl w:val="0"/>
                <w:numId w:val="3"/>
              </w:numPr>
              <w:ind w:firstLineChars="0"/>
              <w:rPr>
                <w:sz w:val="20"/>
                <w:szCs w:val="20"/>
              </w:rPr>
            </w:pPr>
            <w:r>
              <w:rPr>
                <w:rFonts w:hint="eastAsia"/>
                <w:sz w:val="20"/>
                <w:szCs w:val="20"/>
              </w:rPr>
              <w:t>公司员工具有以往多年的工作经验（员工过去所有的）根据顾客要求提供满足顾客需求的产品信息等；</w:t>
            </w:r>
          </w:p>
          <w:p>
            <w:pPr>
              <w:pStyle w:val="10"/>
              <w:numPr>
                <w:ilvl w:val="0"/>
                <w:numId w:val="3"/>
              </w:numPr>
              <w:ind w:firstLineChars="0"/>
              <w:rPr>
                <w:sz w:val="20"/>
                <w:szCs w:val="20"/>
              </w:rPr>
            </w:pPr>
            <w:r>
              <w:rPr>
                <w:rFonts w:hint="eastAsia"/>
                <w:sz w:val="20"/>
                <w:szCs w:val="20"/>
              </w:rPr>
              <w:t>外部来源获取有：体系咨询老师传授的体系知识及所实施的内审员的培训；供方提供的产品介绍等。</w:t>
            </w:r>
          </w:p>
          <w:p>
            <w:pPr>
              <w:pStyle w:val="10"/>
              <w:numPr>
                <w:ilvl w:val="0"/>
                <w:numId w:val="3"/>
              </w:numPr>
              <w:ind w:firstLineChars="0"/>
              <w:rPr>
                <w:sz w:val="20"/>
                <w:szCs w:val="20"/>
              </w:rPr>
            </w:pPr>
            <w:r>
              <w:rPr>
                <w:rFonts w:hint="eastAsia"/>
                <w:sz w:val="20"/>
                <w:szCs w:val="20"/>
              </w:rPr>
              <w:t>获取及保持方法：老员工传帮带新员工；存档产品信息；</w:t>
            </w:r>
          </w:p>
          <w:p>
            <w:pPr>
              <w:pStyle w:val="10"/>
              <w:numPr>
                <w:ilvl w:val="0"/>
                <w:numId w:val="3"/>
              </w:numPr>
              <w:ind w:firstLineChars="0"/>
              <w:rPr>
                <w:sz w:val="20"/>
                <w:szCs w:val="20"/>
              </w:rPr>
            </w:pPr>
            <w:r>
              <w:rPr>
                <w:rFonts w:hint="eastAsia"/>
                <w:sz w:val="20"/>
                <w:szCs w:val="20"/>
              </w:rPr>
              <w:t>为应对不断变化的需求和法阵趋势，组织策划进行体系标准及相关知识的再培训、招聘有专业知识的生产、销售人员等方式，对确定的知识及时更新；</w:t>
            </w:r>
          </w:p>
          <w:p>
            <w:pPr>
              <w:outlineLvl w:val="0"/>
              <w:rPr>
                <w:rFonts w:asciiTheme="minorEastAsia" w:hAnsiTheme="minorEastAsia" w:eastAsiaTheme="minorEastAsia"/>
                <w:sz w:val="20"/>
                <w:szCs w:val="20"/>
                <w:highlight w:val="yellow"/>
              </w:rPr>
            </w:pPr>
            <w:r>
              <w:rPr>
                <w:rFonts w:hint="eastAsia" w:asciiTheme="minorEastAsia" w:hAnsiTheme="minorEastAsia" w:eastAsiaTheme="minorEastAsia"/>
                <w:sz w:val="20"/>
                <w:szCs w:val="20"/>
              </w:rPr>
              <w:sym w:font="Wingdings 2" w:char="F098"/>
            </w:r>
            <w:r>
              <w:rPr>
                <w:rFonts w:hint="eastAsia" w:asciiTheme="minorEastAsia" w:hAnsiTheme="minorEastAsia" w:eastAsiaTheme="minorEastAsia"/>
                <w:sz w:val="20"/>
                <w:szCs w:val="20"/>
              </w:rPr>
              <w:t>对外来文件进行了识别收集，现场提供有《外来文件一览表》包括</w:t>
            </w:r>
            <w:r>
              <w:rPr>
                <w:rFonts w:asciiTheme="minorEastAsia" w:hAnsiTheme="minorEastAsia" w:eastAsiaTheme="minorEastAsia"/>
                <w:sz w:val="20"/>
                <w:szCs w:val="20"/>
              </w:rPr>
              <w:t>质量法、</w:t>
            </w:r>
            <w:r>
              <w:rPr>
                <w:rFonts w:hint="eastAsia" w:asciiTheme="minorEastAsia" w:hAnsiTheme="minorEastAsia" w:eastAsiaTheme="minorEastAsia"/>
                <w:sz w:val="20"/>
                <w:szCs w:val="20"/>
              </w:rPr>
              <w:t>标准化法、</w:t>
            </w:r>
            <w:r>
              <w:rPr>
                <w:rFonts w:asciiTheme="minorEastAsia" w:hAnsiTheme="minorEastAsia" w:eastAsiaTheme="minorEastAsia"/>
                <w:sz w:val="20"/>
                <w:szCs w:val="20"/>
              </w:rPr>
              <w:t>合同法、劳动法、消防法</w:t>
            </w:r>
            <w:r>
              <w:rPr>
                <w:rFonts w:hint="eastAsia" w:asciiTheme="minorEastAsia" w:hAnsiTheme="minorEastAsia" w:eastAsiaTheme="minorEastAsia"/>
                <w:sz w:val="20"/>
                <w:szCs w:val="20"/>
              </w:rPr>
              <w:t>；</w:t>
            </w:r>
          </w:p>
          <w:p>
            <w:pPr>
              <w:outlineLvl w:val="0"/>
              <w:rPr>
                <w:rFonts w:asciiTheme="minorEastAsia" w:hAnsiTheme="minorEastAsia" w:eastAsiaTheme="minorEastAsia"/>
                <w:sz w:val="20"/>
                <w:szCs w:val="20"/>
              </w:rPr>
            </w:pPr>
            <w:r>
              <w:rPr>
                <w:rFonts w:hint="eastAsia" w:asciiTheme="minorEastAsia" w:hAnsiTheme="minorEastAsia" w:eastAsiaTheme="minorEastAsia"/>
                <w:sz w:val="20"/>
                <w:szCs w:val="20"/>
              </w:rPr>
              <w:t>产品的相关国家标准、行业标准：</w:t>
            </w:r>
          </w:p>
          <w:p>
            <w:pPr>
              <w:spacing w:line="240" w:lineRule="exact"/>
              <w:rPr>
                <w:rFonts w:ascii="宋体" w:hAnsi="宋体"/>
                <w:b/>
                <w:color w:val="000000" w:themeColor="text1"/>
                <w:sz w:val="20"/>
                <w:szCs w:val="20"/>
              </w:rPr>
            </w:pPr>
            <w:r>
              <w:rPr>
                <w:rFonts w:hint="eastAsia" w:asciiTheme="minorEastAsia" w:hAnsiTheme="minorEastAsia" w:eastAsiaTheme="minorEastAsia"/>
                <w:sz w:val="20"/>
                <w:szCs w:val="20"/>
              </w:rPr>
              <w:t>GB/T 19000-2016《质量管理体系 基础和术语》、GB/T 19001-2016《质量管理体系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rPr>
                <w:b/>
                <w:bCs/>
                <w:szCs w:val="21"/>
              </w:rPr>
            </w:pPr>
            <w:r>
              <w:rPr>
                <w:rFonts w:hint="eastAsia" w:ascii="宋体" w:hAnsi="宋体" w:cs="宋体"/>
                <w:sz w:val="20"/>
                <w:szCs w:val="20"/>
              </w:rPr>
              <w:sym w:font="Wingdings 2" w:char="F098"/>
            </w:r>
            <w:r>
              <w:rPr>
                <w:rFonts w:hint="eastAsia" w:ascii="宋体" w:hAnsi="宋体" w:cs="宋体"/>
                <w:sz w:val="20"/>
                <w:szCs w:val="20"/>
              </w:rPr>
              <w:t>质量手册明确了质量方针：</w:t>
            </w:r>
            <w:r>
              <w:rPr>
                <w:rFonts w:hint="eastAsia" w:ascii="宋体" w:hAnsi="宋体"/>
                <w:b/>
                <w:szCs w:val="21"/>
              </w:rPr>
              <w:t>顾客第一，优质服务，持续改进，顾客满意</w:t>
            </w:r>
            <w:r>
              <w:rPr>
                <w:rFonts w:hint="eastAsia"/>
                <w:b/>
                <w:bCs/>
                <w:szCs w:val="21"/>
              </w:rPr>
              <w:t>。</w:t>
            </w:r>
          </w:p>
          <w:p>
            <w:pPr>
              <w:spacing w:line="240" w:lineRule="exact"/>
              <w:rPr>
                <w:rFonts w:ascii="宋体" w:hAnsi="宋体" w:cs="宋体"/>
                <w:sz w:val="20"/>
                <w:szCs w:val="20"/>
              </w:rPr>
            </w:pPr>
            <w:r>
              <w:rPr>
                <w:rFonts w:hint="eastAsia" w:ascii="宋体" w:hAnsi="宋体" w:cs="宋体"/>
                <w:sz w:val="20"/>
                <w:szCs w:val="20"/>
              </w:rPr>
              <w:sym w:font="Wingdings 2" w:char="F098"/>
            </w:r>
            <w:r>
              <w:rPr>
                <w:rFonts w:hint="eastAsia" w:ascii="宋体" w:hAnsi="宋体" w:cs="宋体"/>
                <w:sz w:val="20"/>
                <w:szCs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pPr>
              <w:spacing w:line="300" w:lineRule="exact"/>
              <w:ind w:left="1" w:leftChars="0"/>
              <w:rPr>
                <w:b/>
                <w:color w:val="000000" w:themeColor="text1"/>
                <w:sz w:val="20"/>
                <w:szCs w:val="20"/>
              </w:rPr>
            </w:pPr>
            <w:r>
              <w:rPr>
                <w:rFonts w:hint="eastAsia"/>
                <w:sz w:val="20"/>
                <w:szCs w:val="20"/>
              </w:rPr>
              <w:sym w:font="Wingdings 2" w:char="F098"/>
            </w:r>
            <w:r>
              <w:rPr>
                <w:rFonts w:hint="eastAsia"/>
                <w:sz w:val="20"/>
                <w:szCs w:val="20"/>
              </w:rPr>
              <w:t>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组织对外联络，关注顾客的感受情况（QMS）：对顾客回访，进行满意度调查。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ascii="宋体" w:hAnsi="宋体"/>
                <w:sz w:val="20"/>
                <w:szCs w:val="20"/>
              </w:rPr>
            </w:pPr>
            <w:r>
              <w:rPr>
                <w:rFonts w:hint="eastAsia" w:ascii="宋体" w:hAnsi="宋体"/>
                <w:sz w:val="20"/>
                <w:szCs w:val="20"/>
              </w:rPr>
              <w:sym w:font="Wingdings 2" w:char="F098"/>
            </w:r>
            <w:r>
              <w:rPr>
                <w:rFonts w:hint="eastAsia" w:ascii="宋体" w:hAnsi="宋体"/>
                <w:sz w:val="20"/>
                <w:szCs w:val="20"/>
              </w:rPr>
              <w:t>企业提供的资料显示生产程序：行政部、生产部、市场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部下达生产任务书。</w:t>
            </w:r>
          </w:p>
          <w:p>
            <w:pPr>
              <w:pStyle w:val="16"/>
              <w:autoSpaceDE/>
              <w:autoSpaceDN/>
              <w:adjustRightInd/>
              <w:spacing w:line="340" w:lineRule="exact"/>
              <w:rPr>
                <w:rFonts w:hAnsi="宋体"/>
                <w:color w:val="auto"/>
                <w:kern w:val="2"/>
                <w:sz w:val="20"/>
                <w:szCs w:val="20"/>
              </w:rPr>
            </w:pPr>
            <w:r>
              <w:rPr>
                <w:rFonts w:hint="eastAsia" w:hAnsi="宋体"/>
                <w:color w:val="auto"/>
                <w:kern w:val="2"/>
                <w:sz w:val="20"/>
                <w:szCs w:val="20"/>
              </w:rPr>
              <w:sym w:font="Wingdings 2" w:char="F098"/>
            </w:r>
            <w:r>
              <w:rPr>
                <w:rFonts w:hint="eastAsia" w:hAnsi="宋体"/>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6"/>
              <w:autoSpaceDE/>
              <w:autoSpaceDN/>
              <w:adjustRightInd/>
              <w:spacing w:line="340" w:lineRule="exact"/>
              <w:rPr>
                <w:rFonts w:hAnsi="宋体"/>
                <w:color w:val="auto"/>
                <w:kern w:val="2"/>
                <w:sz w:val="20"/>
                <w:szCs w:val="20"/>
              </w:rPr>
            </w:pPr>
            <w:r>
              <w:rPr>
                <w:rFonts w:hint="eastAsia" w:hAnsi="宋体"/>
                <w:color w:val="auto"/>
                <w:kern w:val="2"/>
                <w:sz w:val="20"/>
                <w:szCs w:val="20"/>
                <w:lang w:val="en-GB"/>
              </w:rPr>
              <w:sym w:font="Wingdings 2" w:char="F098"/>
            </w:r>
            <w:r>
              <w:rPr>
                <w:rFonts w:hint="eastAsia" w:hAnsi="宋体"/>
                <w:color w:val="auto"/>
                <w:kern w:val="2"/>
                <w:sz w:val="20"/>
                <w:szCs w:val="20"/>
                <w:lang w:val="en-GB"/>
              </w:rPr>
              <w:t>生产过程控制：主要控制的过程有：</w:t>
            </w:r>
            <w:r>
              <w:rPr>
                <w:rFonts w:hint="eastAsia" w:hAnsi="宋体"/>
                <w:sz w:val="20"/>
                <w:szCs w:val="20"/>
              </w:rPr>
              <w:t>变压器：高低压线圈绕制，柱上断路器：特性测试，</w:t>
            </w:r>
            <w:r>
              <w:rPr>
                <w:rFonts w:hint="eastAsia" w:hAnsi="宋体"/>
                <w:bCs/>
                <w:sz w:val="20"/>
                <w:szCs w:val="20"/>
              </w:rPr>
              <w:t>端子箱/风冷控制柜:调试检验，绝缘横担：检验</w:t>
            </w:r>
            <w:r>
              <w:rPr>
                <w:rFonts w:hint="eastAsia"/>
                <w:sz w:val="20"/>
                <w:szCs w:val="20"/>
              </w:rPr>
              <w:t>等过程</w:t>
            </w:r>
            <w:r>
              <w:rPr>
                <w:rFonts w:hint="eastAsia" w:hAnsi="宋体"/>
                <w:color w:val="auto"/>
                <w:kern w:val="2"/>
                <w:sz w:val="20"/>
                <w:szCs w:val="20"/>
                <w:lang w:val="en-GB"/>
              </w:rPr>
              <w:t>；制定了生产</w:t>
            </w:r>
            <w:r>
              <w:rPr>
                <w:rFonts w:hint="eastAsia" w:hAnsi="宋体"/>
                <w:color w:val="auto"/>
                <w:kern w:val="2"/>
                <w:sz w:val="20"/>
                <w:szCs w:val="20"/>
              </w:rPr>
              <w:t>设备管理制度、设备操作规程、作业指导书、成品检验规范等管理技术文件。</w:t>
            </w:r>
          </w:p>
          <w:p>
            <w:pPr>
              <w:pStyle w:val="16"/>
              <w:autoSpaceDE/>
              <w:autoSpaceDN/>
              <w:adjustRightInd/>
              <w:spacing w:line="340" w:lineRule="exact"/>
              <w:rPr>
                <w:rFonts w:hAnsi="宋体"/>
                <w:color w:val="auto"/>
                <w:kern w:val="2"/>
                <w:sz w:val="20"/>
                <w:szCs w:val="20"/>
              </w:rPr>
            </w:pPr>
            <w:r>
              <w:rPr>
                <w:rFonts w:hint="eastAsia" w:hAnsi="宋体"/>
                <w:color w:val="auto"/>
                <w:kern w:val="2"/>
                <w:sz w:val="20"/>
                <w:szCs w:val="20"/>
              </w:rPr>
              <w:sym w:font="Wingdings 2" w:char="F098"/>
            </w:r>
            <w:r>
              <w:rPr>
                <w:rFonts w:hint="eastAsia" w:hAnsi="宋体"/>
                <w:color w:val="auto"/>
                <w:kern w:val="2"/>
                <w:sz w:val="20"/>
                <w:szCs w:val="20"/>
              </w:rPr>
              <w:t>配备了</w:t>
            </w:r>
            <w:r>
              <w:rPr>
                <w:rFonts w:hint="eastAsia" w:asciiTheme="minorEastAsia" w:hAnsiTheme="minorEastAsia" w:eastAsiaTheme="minorEastAsia"/>
                <w:sz w:val="20"/>
                <w:szCs w:val="20"/>
              </w:rPr>
              <w:t>箱绕机、高压自动绕线机、低压绕线机、鼓风恒温干燥箱、台式砂轮机、剪板机、冲床、台钻、折弯机、母线加工机、压接机、母线加工机、电脑剥离机、台式多用钻床等</w:t>
            </w:r>
            <w:r>
              <w:rPr>
                <w:rFonts w:hint="eastAsia" w:hAnsi="宋体"/>
                <w:color w:val="auto"/>
                <w:kern w:val="2"/>
                <w:sz w:val="20"/>
                <w:szCs w:val="20"/>
              </w:rPr>
              <w:t>，</w:t>
            </w:r>
            <w:r>
              <w:rPr>
                <w:rFonts w:hint="eastAsia" w:hAnsi="宋体"/>
                <w:sz w:val="20"/>
                <w:szCs w:val="20"/>
              </w:rPr>
              <w:t>基本满足要求。</w:t>
            </w:r>
            <w:r>
              <w:rPr>
                <w:rFonts w:hint="eastAsia" w:hAnsi="宋体"/>
                <w:color w:val="auto"/>
                <w:kern w:val="2"/>
                <w:sz w:val="20"/>
                <w:szCs w:val="20"/>
              </w:rPr>
              <w:t xml:space="preserve"> </w:t>
            </w:r>
          </w:p>
          <w:p>
            <w:pPr>
              <w:rPr>
                <w:rFonts w:ascii="宋体" w:hAnsi="宋体"/>
                <w:sz w:val="20"/>
                <w:szCs w:val="20"/>
              </w:rPr>
            </w:pPr>
            <w:r>
              <w:rPr>
                <w:rFonts w:hint="eastAsia"/>
                <w:sz w:val="20"/>
                <w:szCs w:val="20"/>
              </w:rPr>
              <w:sym w:font="Wingdings 2" w:char="F098"/>
            </w:r>
            <w:r>
              <w:rPr>
                <w:rFonts w:hint="eastAsia"/>
                <w:sz w:val="20"/>
                <w:szCs w:val="20"/>
              </w:rPr>
              <w:t>配备了</w:t>
            </w:r>
            <w:r>
              <w:rPr>
                <w:rFonts w:hint="eastAsia" w:asciiTheme="minorEastAsia" w:hAnsiTheme="minorEastAsia" w:eastAsiaTheme="minorEastAsia"/>
                <w:sz w:val="20"/>
                <w:szCs w:val="20"/>
              </w:rPr>
              <w:t>建立有《监视和测量设备台帐》监视测量仪器有：绝缘电阻表 、绝缘电阻测试仪、万用表、游标卡尺 、耐压测试仪 、接地电阻测试仪、钢直尺、钢卷尺等多种监视测量设备</w:t>
            </w:r>
            <w:r>
              <w:rPr>
                <w:rFonts w:hint="eastAsia" w:ascii="宋体" w:hAnsi="宋体"/>
                <w:sz w:val="20"/>
                <w:szCs w:val="20"/>
              </w:rPr>
              <w:t>，基本满足生产、检测要求。</w:t>
            </w:r>
          </w:p>
          <w:p>
            <w:pPr>
              <w:pStyle w:val="16"/>
              <w:autoSpaceDE/>
              <w:autoSpaceDN/>
              <w:adjustRightInd/>
              <w:spacing w:line="340" w:lineRule="exact"/>
              <w:rPr>
                <w:rFonts w:hAnsi="宋体"/>
                <w:sz w:val="20"/>
                <w:szCs w:val="20"/>
              </w:rPr>
            </w:pPr>
            <w:r>
              <w:rPr>
                <w:rFonts w:hint="eastAsia" w:hAnsi="宋体"/>
                <w:color w:val="auto"/>
                <w:kern w:val="2"/>
                <w:sz w:val="20"/>
                <w:szCs w:val="20"/>
              </w:rPr>
              <w:sym w:font="Wingdings 2" w:char="F098"/>
            </w:r>
            <w:r>
              <w:rPr>
                <w:rFonts w:hint="eastAsia" w:hAnsi="宋体"/>
                <w:color w:val="auto"/>
                <w:kern w:val="2"/>
                <w:sz w:val="20"/>
                <w:szCs w:val="20"/>
                <w:lang w:val="en-GB"/>
              </w:rPr>
              <w:t>产品检验：分为原材料、半成品及成品检验，原材料采取进货验证，半成品采取随工序检验，产品采取抽检。</w:t>
            </w:r>
          </w:p>
          <w:p>
            <w:pPr>
              <w:spacing w:line="300" w:lineRule="auto"/>
              <w:ind w:firstLine="200" w:firstLineChars="100"/>
              <w:rPr>
                <w:rFonts w:ascii="宋体"/>
                <w:b/>
                <w:color w:val="000000"/>
                <w:sz w:val="20"/>
                <w:szCs w:val="20"/>
              </w:rPr>
            </w:pPr>
            <w:r>
              <w:rPr>
                <w:rFonts w:hint="eastAsia" w:ascii="宋体" w:hAnsi="宋体"/>
                <w:sz w:val="20"/>
                <w:szCs w:val="20"/>
                <w:lang w:val="en-GB"/>
              </w:rPr>
              <w:sym w:font="Wingdings 2" w:char="F098"/>
            </w:r>
            <w:r>
              <w:rPr>
                <w:rFonts w:hint="eastAsia" w:ascii="宋体" w:hAnsi="宋体"/>
                <w:sz w:val="20"/>
                <w:szCs w:val="20"/>
                <w:lang w:val="en-GB"/>
              </w:rPr>
              <w:t>产品销售过程：</w:t>
            </w:r>
            <w:r>
              <w:rPr>
                <w:rFonts w:hint="eastAsia" w:ascii="宋体" w:hAnsi="宋体"/>
                <w:sz w:val="20"/>
                <w:szCs w:val="20"/>
              </w:rPr>
              <w:t>公司主要产品为</w:t>
            </w:r>
            <w:r>
              <w:rPr>
                <w:rFonts w:hint="eastAsia" w:asciiTheme="majorEastAsia" w:hAnsiTheme="majorEastAsia" w:eastAsiaTheme="majorEastAsia"/>
              </w:rPr>
              <w:t>10kv电力变压器及变压器配件，复合绝缘横担，金具,铁附件，标识牌，安全工具器（资质许可范围内除外）</w:t>
            </w:r>
            <w:r>
              <w:rPr>
                <w:rFonts w:hint="eastAsia" w:ascii="宋体" w:hAnsi="宋体"/>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6"/>
              <w:spacing w:line="276" w:lineRule="auto"/>
              <w:jc w:val="both"/>
              <w:rPr>
                <w:rFonts w:hAnsi="宋体"/>
                <w:sz w:val="20"/>
                <w:szCs w:val="20"/>
              </w:rPr>
            </w:pPr>
            <w:r>
              <w:rPr>
                <w:rFonts w:hAnsi="宋体"/>
                <w:sz w:val="20"/>
                <w:szCs w:val="20"/>
                <w:lang w:val="en-GB"/>
              </w:rPr>
              <w:sym w:font="Wingdings 2" w:char="F098"/>
            </w:r>
            <w:r>
              <w:rPr>
                <w:rFonts w:hint="eastAsia" w:hAnsi="宋体"/>
                <w:sz w:val="20"/>
                <w:szCs w:val="20"/>
              </w:rPr>
              <w:t>该公司目前识别的特殊过程为：高低压线圈的绕制。</w:t>
            </w:r>
          </w:p>
          <w:p>
            <w:pPr>
              <w:pStyle w:val="16"/>
              <w:spacing w:line="276" w:lineRule="auto"/>
              <w:jc w:val="both"/>
              <w:rPr>
                <w:rFonts w:hAnsi="宋体"/>
                <w:sz w:val="20"/>
                <w:szCs w:val="20"/>
              </w:rPr>
            </w:pPr>
            <w:r>
              <w:rPr>
                <w:rFonts w:hint="eastAsia" w:hAnsi="宋体"/>
                <w:sz w:val="20"/>
                <w:szCs w:val="20"/>
              </w:rPr>
              <w:t>外包过程：喷漆、精铸件。</w:t>
            </w:r>
          </w:p>
          <w:p>
            <w:pPr>
              <w:pStyle w:val="16"/>
              <w:spacing w:line="276" w:lineRule="auto"/>
              <w:jc w:val="both"/>
              <w:rPr>
                <w:rFonts w:hAnsi="宋体"/>
                <w:sz w:val="20"/>
                <w:szCs w:val="20"/>
              </w:rPr>
            </w:pPr>
            <w:r>
              <w:rPr>
                <w:rFonts w:hint="eastAsia" w:hAnsi="宋体"/>
                <w:sz w:val="20"/>
                <w:szCs w:val="20"/>
              </w:rPr>
              <w:sym w:font="Wingdings 2" w:char="F098"/>
            </w:r>
            <w:r>
              <w:rPr>
                <w:rFonts w:hint="eastAsia" w:hAnsi="宋体"/>
                <w:sz w:val="20"/>
                <w:szCs w:val="20"/>
              </w:rPr>
              <w:t>质量手册规定了需确认过程识别的要求，提供《过程确认准则》。</w:t>
            </w:r>
          </w:p>
          <w:p>
            <w:pPr>
              <w:spacing w:line="240" w:lineRule="exact"/>
              <w:ind w:left="188" w:leftChars="42" w:hanging="100" w:hangingChars="50"/>
              <w:rPr>
                <w:color w:val="000000" w:themeColor="text1"/>
                <w:sz w:val="20"/>
                <w:szCs w:val="20"/>
              </w:rPr>
            </w:pPr>
            <w:r>
              <w:rPr>
                <w:color w:val="000000" w:themeColor="text1"/>
                <w:sz w:val="20"/>
                <w:szCs w:val="20"/>
              </w:rPr>
              <w:t>提供特殊过程</w:t>
            </w:r>
            <w:r>
              <w:rPr>
                <w:rFonts w:hint="eastAsia" w:hAnsi="宋体"/>
                <w:sz w:val="20"/>
                <w:szCs w:val="20"/>
              </w:rPr>
              <w:t>高低压线圈的绕制过程</w:t>
            </w:r>
            <w:r>
              <w:rPr>
                <w:color w:val="000000" w:themeColor="text1"/>
                <w:sz w:val="20"/>
                <w:szCs w:val="20"/>
              </w:rPr>
              <w:t>确认表、确认程序符合要求。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rPr>
                <w:rFonts w:ascii="楷体" w:hAnsi="楷体" w:eastAsia="楷体"/>
                <w:szCs w:val="21"/>
              </w:rPr>
            </w:pPr>
            <w:r>
              <w:rPr>
                <w:rFonts w:hint="eastAsia" w:ascii="楷体" w:hAnsi="楷体" w:eastAsia="楷体"/>
                <w:szCs w:val="21"/>
              </w:rPr>
              <w:t>1.10-35kv变压器</w:t>
            </w:r>
          </w:p>
          <w:p>
            <w:pPr>
              <w:rPr>
                <w:rFonts w:ascii="楷体" w:hAnsi="楷体" w:eastAsia="楷体"/>
                <w:szCs w:val="21"/>
              </w:rPr>
            </w:pPr>
            <w:r>
              <w:rPr>
                <w:rFonts w:hint="eastAsia" w:ascii="楷体" w:hAnsi="楷体" w:eastAsia="楷体"/>
                <w:szCs w:val="21"/>
              </w:rPr>
              <w:t>GB1094.1-1996 电力变压器第一部分总则</w:t>
            </w:r>
          </w:p>
          <w:p>
            <w:pPr>
              <w:rPr>
                <w:rFonts w:ascii="楷体" w:hAnsi="楷体" w:eastAsia="楷体"/>
                <w:szCs w:val="21"/>
              </w:rPr>
            </w:pPr>
            <w:r>
              <w:rPr>
                <w:rFonts w:hint="eastAsia" w:ascii="楷体" w:hAnsi="楷体" w:eastAsia="楷体"/>
                <w:szCs w:val="21"/>
              </w:rPr>
              <w:t>GB1094.2-1996 电力变压器第二部分升温</w:t>
            </w:r>
          </w:p>
          <w:p>
            <w:pPr>
              <w:rPr>
                <w:rFonts w:ascii="楷体" w:hAnsi="楷体" w:eastAsia="楷体"/>
                <w:szCs w:val="21"/>
              </w:rPr>
            </w:pPr>
            <w:r>
              <w:rPr>
                <w:rFonts w:hint="eastAsia" w:ascii="楷体" w:hAnsi="楷体" w:eastAsia="楷体"/>
                <w:szCs w:val="21"/>
              </w:rPr>
              <w:t>GB1094.3-2003电力变压器第三部分绝缘</w:t>
            </w:r>
          </w:p>
          <w:p>
            <w:pPr>
              <w:rPr>
                <w:rFonts w:ascii="楷体" w:hAnsi="楷体" w:eastAsia="楷体"/>
                <w:szCs w:val="21"/>
              </w:rPr>
            </w:pPr>
            <w:r>
              <w:rPr>
                <w:rFonts w:hint="eastAsia" w:ascii="楷体" w:hAnsi="楷体" w:eastAsia="楷体"/>
                <w:szCs w:val="21"/>
              </w:rPr>
              <w:t>GB/T1094.4-2005电力变压器第四部分雷电冲击</w:t>
            </w:r>
          </w:p>
          <w:p>
            <w:pPr>
              <w:rPr>
                <w:rFonts w:ascii="楷体" w:hAnsi="楷体" w:eastAsia="楷体"/>
                <w:szCs w:val="21"/>
              </w:rPr>
            </w:pPr>
            <w:r>
              <w:rPr>
                <w:rFonts w:hint="eastAsia" w:ascii="楷体" w:hAnsi="楷体" w:eastAsia="楷体"/>
                <w:szCs w:val="21"/>
              </w:rPr>
              <w:t>GB1094.5-2008  电力变压器第五部分 短路</w:t>
            </w:r>
          </w:p>
          <w:p>
            <w:pPr>
              <w:rPr>
                <w:rFonts w:ascii="楷体" w:hAnsi="楷体" w:eastAsia="楷体"/>
                <w:szCs w:val="21"/>
              </w:rPr>
            </w:pPr>
            <w:r>
              <w:rPr>
                <w:rFonts w:hint="eastAsia" w:ascii="楷体" w:hAnsi="楷体" w:eastAsia="楷体"/>
                <w:szCs w:val="21"/>
              </w:rPr>
              <w:t>GB1094.10-2003  电力变压器第十部分 声级测定</w:t>
            </w:r>
          </w:p>
          <w:p>
            <w:pPr>
              <w:rPr>
                <w:rFonts w:ascii="楷体" w:hAnsi="楷体" w:eastAsia="楷体"/>
                <w:szCs w:val="21"/>
              </w:rPr>
            </w:pPr>
            <w:r>
              <w:rPr>
                <w:rFonts w:hint="eastAsia" w:ascii="楷体" w:hAnsi="楷体" w:eastAsia="楷体"/>
                <w:szCs w:val="21"/>
              </w:rPr>
              <w:t>JB/T501-2006   电力变压器试验导则</w:t>
            </w:r>
          </w:p>
          <w:p>
            <w:pPr>
              <w:rPr>
                <w:rFonts w:ascii="楷体" w:hAnsi="楷体" w:eastAsia="楷体"/>
                <w:szCs w:val="21"/>
              </w:rPr>
            </w:pPr>
            <w:r>
              <w:rPr>
                <w:rFonts w:hint="eastAsia" w:ascii="楷体" w:hAnsi="楷体" w:eastAsia="楷体"/>
                <w:szCs w:val="21"/>
              </w:rPr>
              <w:t>GB/T25438-2010三相油浸式立体卷铁心配电变压器技术参数和要求</w:t>
            </w:r>
          </w:p>
          <w:p>
            <w:pPr>
              <w:rPr>
                <w:rFonts w:ascii="楷体" w:hAnsi="楷体" w:eastAsia="楷体"/>
                <w:szCs w:val="21"/>
              </w:rPr>
            </w:pPr>
            <w:r>
              <w:rPr>
                <w:rFonts w:hint="eastAsia" w:ascii="楷体" w:hAnsi="楷体" w:eastAsia="楷体"/>
                <w:szCs w:val="21"/>
              </w:rPr>
              <w:t>2、变压器冷却控制柜、端子箱</w:t>
            </w:r>
          </w:p>
          <w:p>
            <w:pPr>
              <w:rPr>
                <w:rFonts w:ascii="楷体" w:hAnsi="楷体" w:eastAsia="楷体"/>
                <w:szCs w:val="21"/>
              </w:rPr>
            </w:pPr>
            <w:r>
              <w:rPr>
                <w:rFonts w:hint="eastAsia" w:ascii="楷体" w:hAnsi="楷体" w:eastAsia="楷体"/>
                <w:szCs w:val="21"/>
              </w:rPr>
              <w:t>GB/T 7261-2008 继电保护和安全自动装置基本试验方法</w:t>
            </w:r>
          </w:p>
          <w:p>
            <w:pPr>
              <w:rPr>
                <w:rFonts w:ascii="楷体" w:hAnsi="楷体" w:eastAsia="楷体"/>
                <w:szCs w:val="21"/>
              </w:rPr>
            </w:pPr>
            <w:r>
              <w:rPr>
                <w:rFonts w:hint="eastAsia" w:ascii="楷体" w:hAnsi="楷体" w:eastAsia="楷体"/>
                <w:szCs w:val="21"/>
              </w:rPr>
              <w:t>GB/T 14598.2-2011 量度继电器和保护装置 第1部分：通用要求</w:t>
            </w:r>
          </w:p>
          <w:p>
            <w:pPr>
              <w:rPr>
                <w:rFonts w:ascii="楷体" w:hAnsi="楷体" w:eastAsia="楷体"/>
                <w:szCs w:val="21"/>
              </w:rPr>
            </w:pPr>
            <w:r>
              <w:rPr>
                <w:rFonts w:hint="eastAsia" w:ascii="楷体" w:hAnsi="楷体" w:eastAsia="楷体"/>
                <w:szCs w:val="21"/>
              </w:rPr>
              <w:t>Q/ZZ 06-2016 ZZ-BFK  智能风冷控制柜（判定依据）</w:t>
            </w:r>
          </w:p>
          <w:p>
            <w:pPr>
              <w:rPr>
                <w:rFonts w:ascii="楷体" w:hAnsi="楷体" w:eastAsia="楷体"/>
                <w:szCs w:val="21"/>
              </w:rPr>
            </w:pPr>
            <w:r>
              <w:rPr>
                <w:rFonts w:hint="eastAsia" w:ascii="楷体" w:hAnsi="楷体" w:eastAsia="楷体"/>
                <w:szCs w:val="21"/>
              </w:rPr>
              <w:t>3.电力金具</w:t>
            </w:r>
          </w:p>
          <w:p>
            <w:pPr>
              <w:rPr>
                <w:rFonts w:ascii="楷体" w:hAnsi="楷体" w:eastAsia="楷体"/>
                <w:szCs w:val="21"/>
              </w:rPr>
            </w:pPr>
            <w:r>
              <w:rPr>
                <w:rFonts w:ascii="楷体" w:hAnsi="楷体" w:eastAsia="楷体"/>
                <w:szCs w:val="21"/>
              </w:rPr>
              <w:t xml:space="preserve"> GB/T2314-2008</w:t>
            </w:r>
            <w:r>
              <w:rPr>
                <w:rFonts w:hint="eastAsia" w:ascii="楷体" w:hAnsi="楷体" w:eastAsia="楷体"/>
                <w:szCs w:val="21"/>
              </w:rPr>
              <w:t>《电力金具通用技术条件》</w:t>
            </w:r>
          </w:p>
          <w:p>
            <w:pPr>
              <w:rPr>
                <w:rFonts w:ascii="楷体" w:hAnsi="楷体" w:eastAsia="楷体"/>
                <w:szCs w:val="21"/>
              </w:rPr>
            </w:pPr>
            <w:r>
              <w:rPr>
                <w:rFonts w:ascii="楷体" w:hAnsi="楷体" w:eastAsia="楷体"/>
                <w:szCs w:val="21"/>
              </w:rPr>
              <w:t>GB/T2315-2008</w:t>
            </w:r>
            <w:r>
              <w:rPr>
                <w:rFonts w:hint="eastAsia" w:ascii="楷体" w:hAnsi="楷体" w:eastAsia="楷体"/>
                <w:szCs w:val="21"/>
              </w:rPr>
              <w:t xml:space="preserve">《电力金具 </w:t>
            </w:r>
            <w:r>
              <w:rPr>
                <w:rFonts w:ascii="楷体" w:hAnsi="楷体" w:eastAsia="楷体"/>
                <w:szCs w:val="21"/>
              </w:rPr>
              <w:t xml:space="preserve">  </w:t>
            </w:r>
            <w:r>
              <w:rPr>
                <w:rFonts w:hint="eastAsia" w:ascii="楷体" w:hAnsi="楷体" w:eastAsia="楷体"/>
                <w:szCs w:val="21"/>
              </w:rPr>
              <w:t>标称破坏载荷系列及连接形式尺寸》</w:t>
            </w:r>
          </w:p>
          <w:p>
            <w:pPr>
              <w:rPr>
                <w:rFonts w:ascii="楷体" w:hAnsi="楷体" w:eastAsia="楷体"/>
                <w:szCs w:val="21"/>
              </w:rPr>
            </w:pPr>
            <w:r>
              <w:rPr>
                <w:rFonts w:ascii="楷体" w:hAnsi="楷体" w:eastAsia="楷体"/>
                <w:szCs w:val="21"/>
              </w:rPr>
              <w:t>GB/T2317.1-2008</w:t>
            </w:r>
            <w:r>
              <w:rPr>
                <w:rFonts w:hint="eastAsia" w:ascii="楷体" w:hAnsi="楷体" w:eastAsia="楷体"/>
                <w:szCs w:val="21"/>
              </w:rPr>
              <w:t xml:space="preserve">《电力金具试验方法第1部分 </w:t>
            </w:r>
            <w:r>
              <w:rPr>
                <w:rFonts w:ascii="楷体" w:hAnsi="楷体" w:eastAsia="楷体"/>
                <w:szCs w:val="21"/>
              </w:rPr>
              <w:t xml:space="preserve"> </w:t>
            </w:r>
            <w:r>
              <w:rPr>
                <w:rFonts w:hint="eastAsia" w:ascii="楷体" w:hAnsi="楷体" w:eastAsia="楷体"/>
                <w:szCs w:val="21"/>
              </w:rPr>
              <w:t>机械实验》</w:t>
            </w:r>
          </w:p>
          <w:p>
            <w:pPr>
              <w:rPr>
                <w:rFonts w:ascii="楷体" w:hAnsi="楷体" w:eastAsia="楷体"/>
                <w:szCs w:val="21"/>
              </w:rPr>
            </w:pPr>
            <w:r>
              <w:rPr>
                <w:rFonts w:ascii="楷体" w:hAnsi="楷体" w:eastAsia="楷体"/>
                <w:szCs w:val="21"/>
              </w:rPr>
              <w:t>GB/T2317.2-2008</w:t>
            </w:r>
            <w:r>
              <w:rPr>
                <w:rFonts w:hint="eastAsia" w:ascii="楷体" w:hAnsi="楷体" w:eastAsia="楷体"/>
                <w:szCs w:val="21"/>
              </w:rPr>
              <w:t>《电力金具试验方法第</w:t>
            </w:r>
            <w:r>
              <w:rPr>
                <w:rFonts w:ascii="楷体" w:hAnsi="楷体" w:eastAsia="楷体"/>
                <w:szCs w:val="21"/>
              </w:rPr>
              <w:t>2</w:t>
            </w:r>
            <w:r>
              <w:rPr>
                <w:rFonts w:hint="eastAsia" w:ascii="楷体" w:hAnsi="楷体" w:eastAsia="楷体"/>
                <w:szCs w:val="21"/>
              </w:rPr>
              <w:t xml:space="preserve">部分 </w:t>
            </w:r>
            <w:r>
              <w:rPr>
                <w:rFonts w:ascii="楷体" w:hAnsi="楷体" w:eastAsia="楷体"/>
                <w:szCs w:val="21"/>
              </w:rPr>
              <w:t xml:space="preserve"> </w:t>
            </w:r>
            <w:r>
              <w:rPr>
                <w:rFonts w:hint="eastAsia" w:ascii="楷体" w:hAnsi="楷体" w:eastAsia="楷体"/>
                <w:szCs w:val="21"/>
              </w:rPr>
              <w:t>电晕和无线电干扰试验》</w:t>
            </w:r>
          </w:p>
          <w:p>
            <w:pPr>
              <w:rPr>
                <w:rFonts w:ascii="楷体" w:hAnsi="楷体" w:eastAsia="楷体"/>
                <w:szCs w:val="21"/>
              </w:rPr>
            </w:pPr>
            <w:r>
              <w:rPr>
                <w:rFonts w:ascii="楷体" w:hAnsi="楷体" w:eastAsia="楷体"/>
                <w:szCs w:val="21"/>
              </w:rPr>
              <w:t>GB/T2317.3-2008</w:t>
            </w:r>
            <w:r>
              <w:rPr>
                <w:rFonts w:hint="eastAsia" w:ascii="楷体" w:hAnsi="楷体" w:eastAsia="楷体"/>
                <w:szCs w:val="21"/>
              </w:rPr>
              <w:t>《电力金具试验方法第</w:t>
            </w:r>
            <w:r>
              <w:rPr>
                <w:rFonts w:ascii="楷体" w:hAnsi="楷体" w:eastAsia="楷体"/>
                <w:szCs w:val="21"/>
              </w:rPr>
              <w:t>3</w:t>
            </w:r>
            <w:r>
              <w:rPr>
                <w:rFonts w:hint="eastAsia" w:ascii="楷体" w:hAnsi="楷体" w:eastAsia="楷体"/>
                <w:szCs w:val="21"/>
              </w:rPr>
              <w:t xml:space="preserve">部分 </w:t>
            </w:r>
            <w:r>
              <w:rPr>
                <w:rFonts w:ascii="楷体" w:hAnsi="楷体" w:eastAsia="楷体"/>
                <w:szCs w:val="21"/>
              </w:rPr>
              <w:t xml:space="preserve"> </w:t>
            </w:r>
            <w:r>
              <w:rPr>
                <w:rFonts w:hint="eastAsia" w:ascii="楷体" w:hAnsi="楷体" w:eastAsia="楷体"/>
                <w:szCs w:val="21"/>
              </w:rPr>
              <w:t>热循环试验》</w:t>
            </w:r>
          </w:p>
          <w:p>
            <w:pPr>
              <w:rPr>
                <w:rFonts w:ascii="楷体" w:hAnsi="楷体" w:eastAsia="楷体"/>
                <w:szCs w:val="21"/>
              </w:rPr>
            </w:pPr>
            <w:r>
              <w:rPr>
                <w:rFonts w:ascii="楷体" w:hAnsi="楷体" w:eastAsia="楷体"/>
                <w:szCs w:val="21"/>
              </w:rPr>
              <w:t>GB/T2317.4-2008</w:t>
            </w:r>
            <w:r>
              <w:rPr>
                <w:rFonts w:hint="eastAsia" w:ascii="楷体" w:hAnsi="楷体" w:eastAsia="楷体"/>
                <w:szCs w:val="21"/>
              </w:rPr>
              <w:t>《电力金具试验方法第</w:t>
            </w:r>
            <w:r>
              <w:rPr>
                <w:rFonts w:ascii="楷体" w:hAnsi="楷体" w:eastAsia="楷体"/>
                <w:szCs w:val="21"/>
              </w:rPr>
              <w:t>4</w:t>
            </w:r>
            <w:r>
              <w:rPr>
                <w:rFonts w:hint="eastAsia" w:ascii="楷体" w:hAnsi="楷体" w:eastAsia="楷体"/>
                <w:szCs w:val="21"/>
              </w:rPr>
              <w:t xml:space="preserve">部分 </w:t>
            </w:r>
            <w:r>
              <w:rPr>
                <w:rFonts w:ascii="楷体" w:hAnsi="楷体" w:eastAsia="楷体"/>
                <w:szCs w:val="21"/>
              </w:rPr>
              <w:t xml:space="preserve"> </w:t>
            </w:r>
            <w:r>
              <w:rPr>
                <w:rFonts w:hint="eastAsia" w:ascii="楷体" w:hAnsi="楷体" w:eastAsia="楷体"/>
                <w:szCs w:val="21"/>
              </w:rPr>
              <w:t>验收规则》</w:t>
            </w:r>
          </w:p>
          <w:p>
            <w:pPr>
              <w:rPr>
                <w:rFonts w:ascii="楷体" w:hAnsi="楷体" w:eastAsia="楷体"/>
                <w:szCs w:val="21"/>
              </w:rPr>
            </w:pPr>
            <w:r>
              <w:rPr>
                <w:rFonts w:hint="eastAsia" w:ascii="楷体" w:hAnsi="楷体" w:eastAsia="楷体"/>
                <w:szCs w:val="21"/>
              </w:rPr>
              <w:t>4.标识牌</w:t>
            </w:r>
          </w:p>
          <w:p>
            <w:pPr>
              <w:rPr>
                <w:rFonts w:ascii="楷体" w:hAnsi="楷体" w:eastAsia="楷体"/>
                <w:szCs w:val="21"/>
              </w:rPr>
            </w:pPr>
            <w:r>
              <w:rPr>
                <w:rFonts w:ascii="楷体" w:hAnsi="楷体" w:eastAsia="楷体"/>
                <w:szCs w:val="21"/>
              </w:rPr>
              <w:t xml:space="preserve">GB/T </w:t>
            </w:r>
            <w:r>
              <w:rPr>
                <w:rFonts w:hint="eastAsia" w:ascii="楷体" w:hAnsi="楷体" w:eastAsia="楷体"/>
                <w:szCs w:val="21"/>
              </w:rPr>
              <w:t>13306-2011《标牌》</w:t>
            </w:r>
          </w:p>
          <w:p>
            <w:pPr>
              <w:rPr>
                <w:rFonts w:ascii="楷体" w:hAnsi="楷体" w:eastAsia="楷体"/>
                <w:szCs w:val="21"/>
              </w:rPr>
            </w:pPr>
            <w:r>
              <w:rPr>
                <w:rFonts w:hint="eastAsia" w:ascii="楷体" w:hAnsi="楷体" w:eastAsia="楷体"/>
                <w:szCs w:val="21"/>
              </w:rPr>
              <w:t>5.安全工器具</w:t>
            </w:r>
          </w:p>
          <w:p>
            <w:pPr>
              <w:rPr>
                <w:rFonts w:ascii="楷体" w:hAnsi="楷体" w:eastAsia="楷体"/>
                <w:szCs w:val="21"/>
              </w:rPr>
            </w:pPr>
            <w:r>
              <w:rPr>
                <w:rFonts w:ascii="楷体" w:hAnsi="楷体" w:eastAsia="楷体"/>
                <w:szCs w:val="21"/>
              </w:rPr>
              <w:t>DL</w:t>
            </w:r>
            <w:r>
              <w:rPr>
                <w:rFonts w:hint="eastAsia" w:ascii="楷体" w:hAnsi="楷体" w:eastAsia="楷体"/>
                <w:szCs w:val="21"/>
              </w:rPr>
              <w:t>/</w:t>
            </w:r>
            <w:r>
              <w:rPr>
                <w:rFonts w:ascii="楷体" w:hAnsi="楷体" w:eastAsia="楷体"/>
                <w:szCs w:val="21"/>
              </w:rPr>
              <w:t>T1145-2009</w:t>
            </w:r>
            <w:r>
              <w:rPr>
                <w:rFonts w:hint="eastAsia" w:ascii="楷体" w:hAnsi="楷体" w:eastAsia="楷体"/>
                <w:szCs w:val="21"/>
              </w:rPr>
              <w:t>《绝缘工具柜》</w:t>
            </w:r>
          </w:p>
          <w:p>
            <w:pPr>
              <w:rPr>
                <w:rFonts w:ascii="楷体" w:hAnsi="楷体" w:eastAsia="楷体"/>
                <w:szCs w:val="21"/>
              </w:rPr>
            </w:pPr>
            <w:r>
              <w:rPr>
                <w:rFonts w:hint="eastAsia" w:ascii="楷体" w:hAnsi="楷体" w:eastAsia="楷体"/>
                <w:szCs w:val="21"/>
              </w:rPr>
              <w:t>D</w:t>
            </w:r>
            <w:r>
              <w:rPr>
                <w:rFonts w:ascii="楷体" w:hAnsi="楷体" w:eastAsia="楷体"/>
                <w:szCs w:val="21"/>
              </w:rPr>
              <w:t>L/T879-2004</w:t>
            </w:r>
            <w:r>
              <w:rPr>
                <w:rFonts w:hint="eastAsia" w:ascii="楷体" w:hAnsi="楷体" w:eastAsia="楷体"/>
                <w:szCs w:val="21"/>
              </w:rPr>
              <w:t>《带电作业用便携式接地和接地短路装置》</w:t>
            </w:r>
          </w:p>
          <w:p>
            <w:pPr>
              <w:rPr>
                <w:rFonts w:ascii="楷体" w:hAnsi="楷体" w:eastAsia="楷体"/>
                <w:szCs w:val="21"/>
              </w:rPr>
            </w:pPr>
            <w:r>
              <w:rPr>
                <w:rFonts w:ascii="楷体" w:hAnsi="楷体" w:eastAsia="楷体"/>
                <w:szCs w:val="21"/>
              </w:rPr>
              <w:t>DL</w:t>
            </w:r>
            <w:r>
              <w:rPr>
                <w:rFonts w:hint="eastAsia" w:ascii="楷体" w:hAnsi="楷体" w:eastAsia="楷体"/>
                <w:szCs w:val="21"/>
              </w:rPr>
              <w:t>/</w:t>
            </w:r>
            <w:r>
              <w:rPr>
                <w:rFonts w:ascii="楷体" w:hAnsi="楷体" w:eastAsia="楷体"/>
                <w:szCs w:val="21"/>
              </w:rPr>
              <w:t>T740-2014</w:t>
            </w:r>
            <w:r>
              <w:rPr>
                <w:rFonts w:hint="eastAsia" w:ascii="楷体" w:hAnsi="楷体" w:eastAsia="楷体"/>
                <w:szCs w:val="21"/>
              </w:rPr>
              <w:t>《电容验电器》</w:t>
            </w:r>
          </w:p>
          <w:p>
            <w:pPr>
              <w:spacing w:line="300" w:lineRule="exact"/>
              <w:rPr>
                <w:b/>
                <w:color w:val="000000" w:themeColor="text1"/>
                <w:sz w:val="20"/>
                <w:szCs w:val="20"/>
              </w:rPr>
            </w:pPr>
            <w:r>
              <w:rPr>
                <w:rFonts w:hint="eastAsia"/>
                <w:b/>
                <w:color w:val="000000" w:themeColor="text1"/>
                <w:sz w:val="20"/>
                <w:szCs w:val="20"/>
              </w:rPr>
              <w:t>目前，提供给客户的产品均合格</w:t>
            </w:r>
          </w:p>
          <w:p>
            <w:pPr>
              <w:spacing w:line="240" w:lineRule="exact"/>
              <w:rPr>
                <w:b/>
                <w:color w:val="000000" w:themeColor="text1"/>
                <w:sz w:val="20"/>
                <w:szCs w:val="20"/>
              </w:rPr>
            </w:pP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numPr>
                <w:ilvl w:val="0"/>
                <w:numId w:val="4"/>
              </w:numPr>
              <w:spacing w:line="24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产品名称：变压器（立体卷铁芯变压器）</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报告编号：NO.19M0170S</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检测日期：2019.4.29</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检测单位：国家电器产品质量监督检验中心</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注：还有其他变压器的检测报告，只收集了该报告的全部内容，其余只收集了封皮。</w:t>
            </w:r>
          </w:p>
          <w:p>
            <w:pPr>
              <w:numPr>
                <w:ilvl w:val="0"/>
                <w:numId w:val="4"/>
              </w:numPr>
              <w:spacing w:line="24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产品名称：杆顶瓷瓶架</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报告编号：</w:t>
            </w:r>
            <w:r>
              <w:rPr>
                <w:rFonts w:asciiTheme="minorEastAsia" w:hAnsiTheme="minorEastAsia" w:eastAsiaTheme="minorEastAsia"/>
                <w:color w:val="000000" w:themeColor="text1"/>
                <w:szCs w:val="21"/>
              </w:rPr>
              <w:t>W2020-T988</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检测日期：20</w:t>
            </w:r>
            <w:r>
              <w:rPr>
                <w:rFonts w:asciiTheme="minorEastAsia" w:hAnsiTheme="minorEastAsia" w:eastAsiaTheme="minorEastAsia"/>
                <w:color w:val="000000" w:themeColor="text1"/>
                <w:szCs w:val="21"/>
              </w:rPr>
              <w:t>20.5.18</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检测单位：国家塔架质量监督检验中心</w:t>
            </w:r>
          </w:p>
          <w:p>
            <w:pPr>
              <w:numPr>
                <w:ilvl w:val="0"/>
                <w:numId w:val="4"/>
              </w:numPr>
              <w:spacing w:line="24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产品名称：成套抱箍</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报告编号：</w:t>
            </w:r>
            <w:r>
              <w:rPr>
                <w:rFonts w:asciiTheme="minorEastAsia" w:hAnsiTheme="minorEastAsia" w:eastAsiaTheme="minorEastAsia"/>
                <w:color w:val="000000" w:themeColor="text1"/>
                <w:szCs w:val="21"/>
              </w:rPr>
              <w:t>W2020-T989</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检测日期：20</w:t>
            </w:r>
            <w:r>
              <w:rPr>
                <w:rFonts w:asciiTheme="minorEastAsia" w:hAnsiTheme="minorEastAsia" w:eastAsiaTheme="minorEastAsia"/>
                <w:color w:val="000000" w:themeColor="text1"/>
                <w:szCs w:val="21"/>
              </w:rPr>
              <w:t>20.5.18</w:t>
            </w:r>
          </w:p>
          <w:p>
            <w:pPr>
              <w:spacing w:line="240" w:lineRule="exact"/>
              <w:ind w:left="57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检测单位：国家塔架质量监督检验中心</w:t>
            </w:r>
          </w:p>
          <w:p>
            <w:pPr>
              <w:numPr>
                <w:ilvl w:val="0"/>
                <w:numId w:val="4"/>
              </w:numPr>
              <w:spacing w:line="24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产品名称：线路角铁横担</w:t>
            </w:r>
          </w:p>
          <w:p>
            <w:pPr>
              <w:spacing w:line="240" w:lineRule="exact"/>
              <w:ind w:left="420" w:firstLine="210" w:firstLineChars="1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报告编号：</w:t>
            </w:r>
            <w:r>
              <w:rPr>
                <w:rFonts w:asciiTheme="minorEastAsia" w:hAnsiTheme="minorEastAsia" w:eastAsiaTheme="minorEastAsia"/>
                <w:color w:val="000000" w:themeColor="text1"/>
                <w:szCs w:val="21"/>
              </w:rPr>
              <w:t>W2020-T986</w:t>
            </w:r>
          </w:p>
          <w:p>
            <w:pPr>
              <w:spacing w:line="240" w:lineRule="exact"/>
              <w:ind w:left="420" w:firstLine="210" w:firstLineChars="1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检测日期：20</w:t>
            </w:r>
            <w:r>
              <w:rPr>
                <w:rFonts w:asciiTheme="minorEastAsia" w:hAnsiTheme="minorEastAsia" w:eastAsiaTheme="minorEastAsia"/>
                <w:color w:val="000000" w:themeColor="text1"/>
                <w:szCs w:val="21"/>
              </w:rPr>
              <w:t>20.5.18</w:t>
            </w:r>
          </w:p>
          <w:p>
            <w:pPr>
              <w:spacing w:line="240" w:lineRule="exact"/>
              <w:ind w:left="420" w:firstLine="210" w:firstLineChars="1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检测单位：国家塔架质量监督检验中心</w:t>
            </w:r>
          </w:p>
          <w:p>
            <w:pPr>
              <w:spacing w:line="240" w:lineRule="exact"/>
              <w:ind w:firstLine="210" w:firstLineChars="100"/>
              <w:rPr>
                <w:b/>
                <w:color w:val="000000" w:themeColor="text1"/>
                <w:sz w:val="20"/>
                <w:szCs w:val="20"/>
              </w:rPr>
            </w:pPr>
            <w:r>
              <w:rPr>
                <w:rFonts w:hint="eastAsia" w:asciiTheme="minorEastAsia" w:hAnsiTheme="minorEastAsia" w:eastAsiaTheme="minorEastAsia"/>
                <w:szCs w:val="21"/>
              </w:rPr>
              <w:t>具体内容见：检测报告扫描件</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w:t>
            </w:r>
            <w:r>
              <w:rPr>
                <w:rFonts w:hint="eastAsia"/>
                <w:sz w:val="20"/>
                <w:szCs w:val="20"/>
              </w:rPr>
              <w:t>提供了《</w:t>
            </w:r>
            <w:r>
              <w:rPr>
                <w:rFonts w:hint="eastAsia" w:ascii="宋体" w:hAnsi="宋体"/>
                <w:sz w:val="20"/>
                <w:szCs w:val="20"/>
              </w:rPr>
              <w:t>不合格品处置记录</w:t>
            </w:r>
            <w:r>
              <w:rPr>
                <w:rFonts w:hint="eastAsia"/>
                <w:sz w:val="20"/>
                <w:szCs w:val="20"/>
              </w:rPr>
              <w:t>》</w:t>
            </w:r>
            <w:r>
              <w:rPr>
                <w:rFonts w:hint="eastAsia" w:ascii="宋体" w:hAnsi="宋体"/>
                <w:sz w:val="20"/>
                <w:szCs w:val="20"/>
              </w:rPr>
              <w:t>，能对不合格品进行全面、有效的处置和控制，至今出厂的产品未有不合格品发现；客户反馈无质量问题。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r>
              <w:rPr>
                <w:rFonts w:hint="eastAsia"/>
                <w:sz w:val="20"/>
                <w:szCs w:val="20"/>
              </w:rPr>
              <w:t>提供了文件化可分解的目标、指标，经查问分解到各部门，经查阅建立的管理目标符合标准要求，在方针的框架下展开，每季度考核一次，查看202</w:t>
            </w:r>
            <w:r>
              <w:rPr>
                <w:rFonts w:hint="eastAsia"/>
                <w:sz w:val="20"/>
                <w:szCs w:val="20"/>
                <w:lang w:val="en-US" w:eastAsia="zh-CN"/>
              </w:rPr>
              <w:t>1</w:t>
            </w:r>
            <w:r>
              <w:rPr>
                <w:rFonts w:hint="eastAsia"/>
                <w:sz w:val="20"/>
                <w:szCs w:val="20"/>
              </w:rPr>
              <w:t>年</w:t>
            </w:r>
            <w:r>
              <w:rPr>
                <w:rFonts w:hint="eastAsia"/>
                <w:sz w:val="20"/>
                <w:szCs w:val="20"/>
                <w:lang w:val="en-US" w:eastAsia="zh-CN"/>
              </w:rPr>
              <w:t>1</w:t>
            </w:r>
            <w:r>
              <w:rPr>
                <w:rFonts w:hint="eastAsia"/>
                <w:sz w:val="20"/>
                <w:szCs w:val="20"/>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leftChars="0" w:hanging="100" w:hangingChars="50"/>
              <w:rPr>
                <w:b/>
                <w:color w:val="000000" w:themeColor="text1"/>
                <w:sz w:val="20"/>
                <w:szCs w:val="20"/>
              </w:rPr>
            </w:pPr>
            <w:r>
              <w:rPr>
                <w:rFonts w:hint="eastAsia"/>
                <w:sz w:val="20"/>
                <w:szCs w:val="20"/>
                <w:lang w:val="zh-CN"/>
              </w:rPr>
              <w:t>公司通过电话，走访等形式，接受顾客反馈，了解顾客满意度信息，发放调查表对顾客满意度进行定量测量。提供“顾客满意程度调查表”，调查主要内容：</w:t>
            </w:r>
            <w:r>
              <w:rPr>
                <w:rFonts w:hint="eastAsia"/>
                <w:sz w:val="20"/>
                <w:szCs w:val="20"/>
              </w:rPr>
              <w:t>质量、价格、外观、服务等方面的满意程度</w:t>
            </w:r>
            <w:r>
              <w:rPr>
                <w:rFonts w:hint="eastAsia"/>
                <w:sz w:val="20"/>
                <w:szCs w:val="20"/>
                <w:lang w:val="zh-CN"/>
              </w:rPr>
              <w:t>等，</w:t>
            </w:r>
            <w:r>
              <w:rPr>
                <w:rFonts w:hint="eastAsia"/>
                <w:sz w:val="20"/>
                <w:szCs w:val="20"/>
              </w:rPr>
              <w:t>各项得分求平均值得最终结果</w:t>
            </w:r>
            <w:r>
              <w:rPr>
                <w:rFonts w:hint="eastAsia"/>
                <w:sz w:val="20"/>
                <w:szCs w:val="20"/>
                <w:lang w:val="zh-CN"/>
              </w:rPr>
              <w:t>。</w:t>
            </w:r>
            <w:r>
              <w:rPr>
                <w:rFonts w:hint="eastAsia"/>
                <w:sz w:val="20"/>
                <w:szCs w:val="20"/>
              </w:rPr>
              <w:t>提供顾客满意调查分析。最终顾客满意率</w:t>
            </w:r>
            <w:r>
              <w:rPr>
                <w:sz w:val="20"/>
                <w:szCs w:val="20"/>
              </w:rPr>
              <w:t>100</w:t>
            </w:r>
            <w:r>
              <w:rPr>
                <w:rFonts w:hint="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z w:val="20"/>
                <w:szCs w:val="20"/>
              </w:rPr>
            </w:pPr>
            <w:r>
              <w:rPr>
                <w:rFonts w:hint="eastAsia"/>
                <w:sz w:val="20"/>
                <w:szCs w:val="20"/>
              </w:rPr>
              <w:t>按照策划的安排于</w:t>
            </w:r>
            <w:r>
              <w:rPr>
                <w:sz w:val="20"/>
                <w:szCs w:val="20"/>
              </w:rPr>
              <w:t>20</w:t>
            </w:r>
            <w:r>
              <w:rPr>
                <w:rFonts w:hint="eastAsia"/>
                <w:sz w:val="20"/>
                <w:szCs w:val="20"/>
              </w:rPr>
              <w:t>20年</w:t>
            </w:r>
            <w:r>
              <w:rPr>
                <w:sz w:val="20"/>
                <w:szCs w:val="20"/>
              </w:rPr>
              <w:t>10</w:t>
            </w:r>
            <w:r>
              <w:rPr>
                <w:rFonts w:hint="eastAsia"/>
                <w:sz w:val="20"/>
                <w:szCs w:val="20"/>
              </w:rPr>
              <w:t>月22-23日进行了一次集中式的内部审核，经查阅资料及与管代沟通，内审员没有审核自己的工作，查阅内审记录，符合策划安排，提出1项不符合，责任部门进行了分析原因、采取纠正/纠正措施并验证了有效性，内审报告中对管理体系的符合性、充分性和运行有效性进行了评价。内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sz w:val="20"/>
                <w:szCs w:val="20"/>
              </w:rPr>
              <w:t>照策划的安排于</w:t>
            </w:r>
            <w:r>
              <w:rPr>
                <w:sz w:val="20"/>
                <w:szCs w:val="20"/>
              </w:rPr>
              <w:t>20</w:t>
            </w:r>
            <w:r>
              <w:rPr>
                <w:rFonts w:hint="eastAsia"/>
                <w:sz w:val="20"/>
                <w:szCs w:val="20"/>
              </w:rPr>
              <w:t>20</w:t>
            </w:r>
            <w:r>
              <w:rPr>
                <w:rFonts w:hint="eastAsia" w:cs="宋体"/>
                <w:sz w:val="20"/>
                <w:szCs w:val="20"/>
              </w:rPr>
              <w:t>年</w:t>
            </w:r>
            <w:r>
              <w:rPr>
                <w:rFonts w:cs="宋体"/>
                <w:sz w:val="20"/>
                <w:szCs w:val="20"/>
              </w:rPr>
              <w:t>11</w:t>
            </w:r>
            <w:r>
              <w:rPr>
                <w:rFonts w:hint="eastAsia" w:cs="宋体"/>
                <w:sz w:val="20"/>
                <w:szCs w:val="20"/>
              </w:rPr>
              <w:t>月10日</w:t>
            </w:r>
            <w:r>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0"/>
                <w:szCs w:val="20"/>
              </w:rPr>
              <w:t>对内审提出的不符合进行原因分析，并完成了整改。对管理评审提出的不符合及改进要求，进行原因分析，制定了具体措施，目前已实施。纠正措施尚可，预防措施欠缺。</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r>
              <w:rPr>
                <w:rFonts w:hint="eastAsia"/>
                <w:b/>
                <w:color w:val="000000" w:themeColor="text1"/>
                <w:spacing w:val="-20"/>
                <w:sz w:val="20"/>
                <w:szCs w:val="20"/>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rPr>
                <w:rFonts w:hint="eastAsia"/>
                <w:b/>
                <w:color w:val="000000" w:themeColor="text1"/>
                <w:szCs w:val="21"/>
              </w:rPr>
            </w:pPr>
            <w:r>
              <w:rPr>
                <w:rFonts w:hint="eastAsia"/>
                <w:b/>
                <w:color w:val="000000" w:themeColor="text1"/>
                <w:szCs w:val="21"/>
              </w:rPr>
              <w:t>上次不符合的整改情况（再认证填写）</w:t>
            </w:r>
          </w:p>
          <w:p>
            <w:pPr>
              <w:numPr>
                <w:numId w:val="0"/>
              </w:numPr>
              <w:spacing w:line="240" w:lineRule="exact"/>
              <w:rPr>
                <w:rFonts w:hint="eastAsia"/>
                <w:b/>
                <w:color w:val="000000" w:themeColor="text1"/>
                <w:szCs w:val="21"/>
              </w:rPr>
            </w:pPr>
            <w:r>
              <w:rPr>
                <w:rFonts w:hint="eastAsia" w:ascii="楷体" w:hAnsi="楷体" w:eastAsia="楷体"/>
                <w:lang w:val="en-US" w:eastAsia="zh-CN"/>
              </w:rPr>
              <w:t>远程初审</w:t>
            </w:r>
            <w:r>
              <w:rPr>
                <w:rFonts w:hint="eastAsia" w:ascii="楷体" w:hAnsi="楷体" w:eastAsia="楷体"/>
              </w:rPr>
              <w:t>问题验证:</w:t>
            </w:r>
            <w:r>
              <w:rPr>
                <w:rFonts w:hint="eastAsia" w:ascii="楷体" w:hAnsi="楷体" w:eastAsia="楷体"/>
                <w:lang w:val="en-US" w:eastAsia="zh-CN"/>
              </w:rPr>
              <w:t>2021年1月18日远程初审时，</w:t>
            </w:r>
            <w:r>
              <w:rPr>
                <w:rFonts w:hint="eastAsia" w:ascii="楷体" w:hAnsi="楷体" w:eastAsia="楷体"/>
                <w:szCs w:val="21"/>
                <w:u w:val="none"/>
              </w:rPr>
              <w:t>企业未能提供电力金具喷涂（热镀锌）外包方的评价记录，</w:t>
            </w:r>
            <w:r>
              <w:rPr>
                <w:rFonts w:hint="eastAsia" w:ascii="楷体" w:hAnsi="楷体" w:eastAsia="楷体"/>
                <w:szCs w:val="21"/>
                <w:u w:val="none"/>
                <w:lang w:val="en-US" w:eastAsia="zh-CN"/>
              </w:rPr>
              <w:t>企业1月23日进行了整改，纠正措施有效，本次现场补充审核未发现类似情况</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6"/>
              <w:spacing w:line="340" w:lineRule="exact"/>
              <w:ind w:left="1453" w:hanging="1033"/>
              <w:rPr>
                <w:color w:val="auto"/>
                <w:kern w:val="2"/>
                <w:sz w:val="21"/>
                <w:szCs w:val="21"/>
                <w:lang w:val="en-GB"/>
              </w:rPr>
            </w:pPr>
            <w:r>
              <w:rPr>
                <w:rFonts w:hint="eastAsia"/>
                <w:color w:val="auto"/>
                <w:kern w:val="2"/>
                <w:sz w:val="21"/>
                <w:szCs w:val="21"/>
                <w:lang w:val="en-GB"/>
              </w:rPr>
              <w:t xml:space="preserve">根据审核发现，审核组一致认为， </w:t>
            </w:r>
            <w:r>
              <w:rPr>
                <w:rFonts w:hint="eastAsia"/>
                <w:color w:val="auto"/>
                <w:sz w:val="21"/>
                <w:szCs w:val="21"/>
                <w:lang w:val="en-GB"/>
              </w:rPr>
              <w:t xml:space="preserve"> </w:t>
            </w:r>
            <w:r>
              <w:rPr>
                <w:rFonts w:ascii="楷体" w:hAnsi="楷体" w:eastAsia="楷体"/>
              </w:rPr>
              <w:t>保定市金烁源变压器有限公司</w:t>
            </w:r>
            <w:r>
              <w:rPr>
                <w:rFonts w:hint="eastAsia"/>
                <w:color w:val="auto"/>
                <w:sz w:val="21"/>
                <w:szCs w:val="21"/>
              </w:rPr>
              <w:t xml:space="preserve"> </w:t>
            </w:r>
            <w:r>
              <w:rPr>
                <w:rFonts w:hint="eastAsia"/>
                <w:sz w:val="21"/>
                <w:szCs w:val="21"/>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hAnsi="宋体"/>
                <w:b/>
                <w:color w:val="auto"/>
                <w:sz w:val="21"/>
                <w:szCs w:val="21"/>
              </w:rPr>
              <w:t>■</w:t>
            </w:r>
            <w:r>
              <w:rPr>
                <w:rFonts w:hint="eastAsia"/>
                <w:color w:val="auto"/>
                <w:kern w:val="2"/>
                <w:sz w:val="21"/>
                <w:szCs w:val="21"/>
                <w:lang w:val="en-GB"/>
              </w:rPr>
              <w:t>质量</w:t>
            </w:r>
            <w:r>
              <w:rPr>
                <w:rFonts w:hint="eastAsia"/>
                <w:b/>
                <w:color w:val="auto"/>
                <w:sz w:val="21"/>
                <w:szCs w:val="21"/>
              </w:rPr>
              <w:t>□</w:t>
            </w:r>
            <w:r>
              <w:rPr>
                <w:rFonts w:hint="eastAsia"/>
                <w:color w:val="auto"/>
                <w:kern w:val="2"/>
                <w:sz w:val="21"/>
                <w:szCs w:val="21"/>
                <w:lang w:val="en-GB"/>
              </w:rPr>
              <w:t>环境</w:t>
            </w:r>
            <w:r>
              <w:rPr>
                <w:rFonts w:hint="eastAsia"/>
                <w:b/>
                <w:color w:val="auto"/>
                <w:sz w:val="21"/>
                <w:szCs w:val="21"/>
              </w:rPr>
              <w:t>□</w:t>
            </w:r>
            <w:r>
              <w:rPr>
                <w:rFonts w:hint="eastAsia"/>
                <w:color w:val="auto"/>
                <w:kern w:val="2"/>
                <w:sz w:val="21"/>
                <w:szCs w:val="21"/>
                <w:lang w:val="en-GB"/>
              </w:rPr>
              <w:t>职业健康安全</w:t>
            </w:r>
            <w:r>
              <w:rPr>
                <w:rFonts w:hint="eastAsia"/>
                <w:b/>
                <w:color w:val="auto"/>
                <w:sz w:val="21"/>
                <w:szCs w:val="21"/>
              </w:rPr>
              <w:t>□</w:t>
            </w:r>
            <w:r>
              <w:rPr>
                <w:rFonts w:hint="eastAsia"/>
                <w:color w:val="auto"/>
                <w:kern w:val="2"/>
                <w:sz w:val="21"/>
                <w:szCs w:val="21"/>
                <w:lang w:val="en-GB"/>
              </w:rPr>
              <w:t>食品安全 管理体系：</w:t>
            </w:r>
          </w:p>
          <w:tbl>
            <w:tblPr>
              <w:tblStyle w:val="6"/>
              <w:tblW w:w="0" w:type="auto"/>
              <w:tblInd w:w="1440"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hAnsi="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hAnsi="宋体"/>
                      <w:b/>
                      <w:color w:val="auto"/>
                      <w:sz w:val="21"/>
                      <w:szCs w:val="21"/>
                    </w:rPr>
                    <w:t>■</w:t>
                  </w:r>
                  <w:r>
                    <w:rPr>
                      <w:rFonts w:hint="eastAsia"/>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bookmarkStart w:id="22" w:name="_GoBack"/>
      <w:r>
        <w:rPr>
          <w:rFonts w:hint="eastAsia"/>
          <w:b/>
          <w:color w:val="000000" w:themeColor="text1"/>
          <w:sz w:val="26"/>
          <w:szCs w:val="26"/>
        </w:rPr>
        <w:drawing>
          <wp:inline distT="0" distB="0" distL="0" distR="0">
            <wp:extent cx="693420" cy="220980"/>
            <wp:effectExtent l="0" t="0" r="508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93420" cy="220980"/>
                    </a:xfrm>
                    <a:prstGeom prst="rect">
                      <a:avLst/>
                    </a:prstGeom>
                    <a:noFill/>
                    <a:ln>
                      <a:noFill/>
                    </a:ln>
                  </pic:spPr>
                </pic:pic>
              </a:graphicData>
            </a:graphic>
          </wp:inline>
        </w:drawing>
      </w:r>
      <w:bookmarkEnd w:id="22"/>
    </w:p>
    <w:p>
      <w:pPr>
        <w:snapToGrid w:val="0"/>
        <w:spacing w:before="156" w:beforeLines="50" w:line="360" w:lineRule="auto"/>
        <w:ind w:firstLine="527" w:firstLineChars="250"/>
        <w:rPr>
          <w:b/>
          <w:color w:val="000000" w:themeColor="text1"/>
        </w:rPr>
      </w:pPr>
    </w:p>
    <w:p>
      <w:pPr>
        <w:tabs>
          <w:tab w:val="center" w:pos="4153"/>
        </w:tabs>
        <w:snapToGrid w:val="0"/>
        <w:spacing w:after="156" w:afterLines="50" w:line="360" w:lineRule="auto"/>
        <w:ind w:left="-13" w:leftChars="-32" w:hanging="54" w:hangingChars="26"/>
        <w:rPr>
          <w:rFonts w:hint="eastAsia" w:eastAsia="宋体"/>
          <w:b/>
          <w:color w:val="000000" w:themeColor="text1"/>
          <w:sz w:val="26"/>
          <w:szCs w:val="26"/>
          <w:lang w:eastAsia="zh-CN"/>
        </w:rPr>
      </w:pPr>
      <w:r>
        <w:drawing>
          <wp:anchor distT="0" distB="0" distL="114300" distR="114300" simplePos="0" relativeHeight="251661312" behindDoc="0" locked="0" layoutInCell="1" allowOverlap="1">
            <wp:simplePos x="0" y="0"/>
            <wp:positionH relativeFrom="column">
              <wp:posOffset>1499870</wp:posOffset>
            </wp:positionH>
            <wp:positionV relativeFrom="paragraph">
              <wp:posOffset>13970</wp:posOffset>
            </wp:positionV>
            <wp:extent cx="647700" cy="314325"/>
            <wp:effectExtent l="0" t="0" r="0" b="3175"/>
            <wp:wrapNone/>
            <wp:docPr id="4"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QQ截图20160124084745 拷贝"/>
                    <pic:cNvPicPr>
                      <a:picLocks noChangeAspect="1"/>
                    </pic:cNvPicPr>
                  </pic:nvPicPr>
                  <pic:blipFill>
                    <a:blip r:embed="rId7"/>
                    <a:stretch>
                      <a:fillRect/>
                    </a:stretch>
                  </pic:blipFill>
                  <pic:spPr>
                    <a:xfrm>
                      <a:off x="0" y="0"/>
                      <a:ext cx="647700" cy="314325"/>
                    </a:xfrm>
                    <a:prstGeom prst="rect">
                      <a:avLst/>
                    </a:prstGeom>
                    <a:noFill/>
                    <a:ln>
                      <a:noFill/>
                    </a:ln>
                  </pic:spPr>
                </pic:pic>
              </a:graphicData>
            </a:graphic>
          </wp:anchor>
        </w:drawing>
      </w:r>
      <w:r>
        <w:rPr>
          <w:rFonts w:hint="eastAsia"/>
          <w:b/>
          <w:color w:val="000000" w:themeColor="text1"/>
          <w:sz w:val="26"/>
          <w:szCs w:val="26"/>
        </w:rPr>
        <w:t>审核组组员（签名）：</w:t>
      </w:r>
      <w:r>
        <w:rPr>
          <w:rFonts w:hint="eastAsia"/>
          <w:b/>
          <w:color w:val="000000" w:themeColor="text1"/>
          <w:sz w:val="26"/>
          <w:szCs w:val="26"/>
          <w:lang w:eastAsia="zh-CN"/>
        </w:rPr>
        <w:tab/>
      </w:r>
      <w:r>
        <w:drawing>
          <wp:inline distT="0" distB="0" distL="114300" distR="114300">
            <wp:extent cx="1019175" cy="323850"/>
            <wp:effectExtent l="0" t="0" r="9525"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1019175" cy="32385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B1D43"/>
    <w:multiLevelType w:val="singleLevel"/>
    <w:tmpl w:val="DE5B1D43"/>
    <w:lvl w:ilvl="0" w:tentative="0">
      <w:start w:val="5"/>
      <w:numFmt w:val="decimal"/>
      <w:suff w:val="space"/>
      <w:lvlText w:val="%1."/>
      <w:lvlJc w:val="left"/>
    </w:lvl>
  </w:abstractNum>
  <w:abstractNum w:abstractNumId="1">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34D19D3"/>
    <w:multiLevelType w:val="multilevel"/>
    <w:tmpl w:val="734D19D3"/>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3B96C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2021-04-25T05:18:53Z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586B0209FBCB4022810BC3F4E83D1A66</vt:lpwstr>
  </property>
</Properties>
</file>