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芜湖桂成光电科技有限公司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0260-2021-EO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任泽华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2018-N1EMS-2059498</w:t>
            </w:r>
          </w:p>
          <w:p w:rsidR="009F508A">
            <w:pPr>
              <w:snapToGrid w:val="0"/>
              <w:spacing w:line="320" w:lineRule="exact"/>
              <w:ind w:left="1309"/>
              <w:rPr>
                <w:sz w:val="22"/>
                <w:szCs w:val="22"/>
                <w:highlight w:val="yellow"/>
              </w:rPr>
            </w:pPr>
            <w:r>
              <w:rPr>
                <w:sz w:val="22"/>
                <w:szCs w:val="22"/>
                <w:highlight w:val="yellow"/>
              </w:rPr>
              <w:t>ISC-59498</w:t>
            </w:r>
          </w:p>
          <w:p w:rsidR="009F508A">
            <w:pPr>
              <w:snapToGrid w:val="0"/>
              <w:spacing w:line="320" w:lineRule="exact"/>
              <w:ind w:left="1309"/>
              <w:rPr>
                <w:sz w:val="22"/>
                <w:szCs w:val="22"/>
                <w:highlight w:val="yellow"/>
              </w:rPr>
            </w:pPr>
            <w:r>
              <w:rPr>
                <w:sz w:val="22"/>
                <w:szCs w:val="22"/>
                <w:highlight w:val="yellow"/>
              </w:rPr>
              <w:t>杭州锐德技术有限公司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胡绍毅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ISC-JSZJ-276</w:t>
            </w:r>
          </w:p>
          <w:p w:rsidR="009F508A">
            <w:pPr>
              <w:snapToGrid w:val="0"/>
              <w:spacing w:line="320" w:lineRule="exact"/>
              <w:ind w:left="1309"/>
              <w:rPr>
                <w:sz w:val="22"/>
                <w:szCs w:val="22"/>
                <w:highlight w:val="yellow"/>
              </w:rPr>
            </w:pPr>
            <w:r>
              <w:rPr>
                <w:sz w:val="22"/>
                <w:szCs w:val="22"/>
                <w:highlight w:val="yellow"/>
              </w:rPr>
              <w:t>ISC-JSZJ-276</w:t>
            </w:r>
          </w:p>
          <w:p w:rsidR="009F508A">
            <w:pPr>
              <w:snapToGrid w:val="0"/>
              <w:spacing w:line="320" w:lineRule="exact"/>
              <w:ind w:left="1309"/>
              <w:rPr>
                <w:sz w:val="22"/>
                <w:szCs w:val="22"/>
                <w:highlight w:val="yellow"/>
              </w:rPr>
            </w:pPr>
            <w:r>
              <w:rPr>
                <w:sz w:val="22"/>
                <w:szCs w:val="22"/>
                <w:highlight w:val="yellow"/>
              </w:rPr>
              <w:t>退休</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