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6"/>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北京泰坦中厨科技有限公司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eastAsia" w:eastAsia="宋体"/>
                <w:b/>
                <w:color w:val="000000" w:themeColor="text1"/>
                <w:sz w:val="20"/>
                <w:szCs w:val="20"/>
                <w:lang w:eastAsia="zh-CN"/>
              </w:rPr>
            </w:pPr>
            <w:r>
              <w:rPr>
                <w:rFonts w:hint="eastAsia"/>
                <w:b/>
                <w:color w:val="000000" w:themeColor="text1"/>
                <w:sz w:val="20"/>
                <w:szCs w:val="20"/>
                <w:lang w:val="en-US" w:eastAsia="zh-CN"/>
              </w:rPr>
              <w:t>周涛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rFonts w:hint="eastAsia" w:eastAsia="宋体"/>
                <w:b/>
                <w:color w:val="000000" w:themeColor="text1"/>
                <w:sz w:val="20"/>
                <w:szCs w:val="20"/>
                <w:lang w:eastAsia="zh-CN"/>
              </w:rPr>
            </w:pPr>
            <w:r>
              <w:rPr>
                <w:rFonts w:hint="eastAsia"/>
                <w:b/>
                <w:color w:val="000000" w:themeColor="text1"/>
                <w:sz w:val="20"/>
                <w:szCs w:val="20"/>
                <w:lang w:val="en-US" w:eastAsia="zh-CN"/>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ind w:firstLine="540" w:firstLineChars="300"/>
              <w:rPr>
                <w:b/>
                <w:color w:val="000000" w:themeColor="text1"/>
                <w:sz w:val="20"/>
                <w:szCs w:val="20"/>
              </w:rPr>
            </w:pPr>
            <w:r>
              <w:rPr>
                <w:rFonts w:hint="eastAsia"/>
                <w:sz w:val="18"/>
                <w:szCs w:val="18"/>
              </w:rPr>
              <w:t>李雅静</w:t>
            </w:r>
          </w:p>
        </w:tc>
        <w:tc>
          <w:tcPr>
            <w:tcW w:w="992" w:type="dxa"/>
            <w:vAlign w:val="center"/>
          </w:tcPr>
          <w:p>
            <w:pPr>
              <w:spacing w:line="240" w:lineRule="exact"/>
              <w:ind w:firstLine="180" w:firstLineChars="100"/>
              <w:rPr>
                <w:b/>
                <w:color w:val="000000" w:themeColor="text1"/>
                <w:sz w:val="20"/>
                <w:szCs w:val="20"/>
              </w:rPr>
            </w:pPr>
            <w:r>
              <w:rPr>
                <w:rFonts w:hint="eastAsia"/>
                <w:sz w:val="18"/>
                <w:szCs w:val="18"/>
              </w:rPr>
              <w:t>组员</w:t>
            </w:r>
          </w:p>
        </w:tc>
        <w:tc>
          <w:tcPr>
            <w:tcW w:w="1216" w:type="dxa"/>
            <w:vAlign w:val="center"/>
          </w:tcPr>
          <w:p>
            <w:pPr>
              <w:spacing w:line="240" w:lineRule="exact"/>
              <w:jc w:val="center"/>
              <w:rPr>
                <w:b/>
                <w:color w:val="000000" w:themeColor="text1"/>
                <w:sz w:val="20"/>
                <w:szCs w:val="20"/>
              </w:rPr>
            </w:pPr>
            <w:r>
              <w:rPr>
                <w:rFonts w:hint="eastAsia"/>
                <w:sz w:val="18"/>
                <w:szCs w:val="18"/>
              </w:rPr>
              <w:t>女</w:t>
            </w:r>
          </w:p>
        </w:tc>
        <w:tc>
          <w:tcPr>
            <w:tcW w:w="3478" w:type="dxa"/>
            <w:gridSpan w:val="3"/>
            <w:vAlign w:val="center"/>
          </w:tcPr>
          <w:p>
            <w:pPr>
              <w:spacing w:line="240" w:lineRule="exact"/>
              <w:jc w:val="center"/>
              <w:rPr>
                <w:sz w:val="18"/>
                <w:szCs w:val="18"/>
              </w:rPr>
            </w:pPr>
            <w:r>
              <w:rPr>
                <w:sz w:val="18"/>
                <w:szCs w:val="18"/>
              </w:rPr>
              <w:t>Q:审核员</w:t>
            </w:r>
          </w:p>
          <w:p>
            <w:pPr>
              <w:spacing w:line="240" w:lineRule="exact"/>
              <w:jc w:val="center"/>
              <w:rPr>
                <w:sz w:val="18"/>
                <w:szCs w:val="18"/>
              </w:rPr>
            </w:pPr>
            <w:r>
              <w:rPr>
                <w:sz w:val="18"/>
                <w:szCs w:val="18"/>
              </w:rPr>
              <w:t>E:审核员</w:t>
            </w:r>
          </w:p>
          <w:p>
            <w:pPr>
              <w:jc w:val="center"/>
              <w:rPr>
                <w:b/>
                <w:color w:val="000000" w:themeColor="text1"/>
                <w:sz w:val="20"/>
                <w:szCs w:val="20"/>
              </w:rPr>
            </w:pPr>
            <w:r>
              <w:rPr>
                <w:sz w:val="18"/>
                <w:szCs w:val="18"/>
              </w:rPr>
              <w:t>O:审核员</w:t>
            </w:r>
          </w:p>
        </w:tc>
        <w:tc>
          <w:tcPr>
            <w:tcW w:w="2333" w:type="dxa"/>
            <w:gridSpan w:val="2"/>
            <w:vAlign w:val="center"/>
          </w:tcPr>
          <w:p>
            <w:pPr>
              <w:spacing w:line="240" w:lineRule="exact"/>
              <w:jc w:val="center"/>
              <w:rPr>
                <w:rFonts w:hint="eastAsia"/>
                <w:b/>
                <w:szCs w:val="21"/>
              </w:rPr>
            </w:pPr>
            <w:r>
              <w:rPr>
                <w:rFonts w:hint="eastAsia"/>
                <w:b/>
                <w:szCs w:val="21"/>
              </w:rPr>
              <w:t>Q:29.12.00</w:t>
            </w:r>
          </w:p>
          <w:p>
            <w:pPr>
              <w:spacing w:line="240" w:lineRule="exact"/>
              <w:jc w:val="center"/>
              <w:rPr>
                <w:rFonts w:hint="eastAsia"/>
                <w:b/>
                <w:szCs w:val="21"/>
              </w:rPr>
            </w:pPr>
            <w:r>
              <w:rPr>
                <w:rFonts w:hint="eastAsia"/>
                <w:b/>
                <w:szCs w:val="21"/>
              </w:rPr>
              <w:t>E:29.12.00</w:t>
            </w:r>
          </w:p>
          <w:p>
            <w:pPr>
              <w:jc w:val="center"/>
              <w:rPr>
                <w:b/>
                <w:color w:val="000000" w:themeColor="text1"/>
                <w:sz w:val="20"/>
                <w:szCs w:val="20"/>
              </w:rPr>
            </w:pPr>
            <w:r>
              <w:rPr>
                <w:rFonts w:hint="eastAsia"/>
                <w:b/>
                <w:szCs w:val="21"/>
              </w:rPr>
              <w:t>O:29.12.00</w:t>
            </w: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pacing w:val="-10"/>
          <w:sz w:val="20"/>
          <w:szCs w:val="20"/>
        </w:rPr>
      </w:pPr>
      <w:r>
        <w:rPr>
          <w:rFonts w:hint="eastAsia" w:ascii="宋体" w:hAnsi="宋体"/>
          <w:b/>
          <w:color w:val="000000" w:themeColor="text1"/>
          <w:sz w:val="26"/>
          <w:szCs w:val="26"/>
        </w:rPr>
        <w:t>审核准则</w:t>
      </w:r>
      <w:bookmarkStart w:id="4" w:name="审核依据"/>
    </w:p>
    <w:p>
      <w:pPr>
        <w:pStyle w:val="11"/>
        <w:numPr>
          <w:ilvl w:val="0"/>
          <w:numId w:val="0"/>
        </w:numPr>
        <w:ind w:left="-851" w:leftChars="0"/>
        <w:rPr>
          <w:rFonts w:hint="eastAsia" w:ascii="宋体" w:hAnsi="宋体"/>
          <w:b/>
          <w:color w:val="000000" w:themeColor="text1"/>
          <w:spacing w:val="-10"/>
          <w:sz w:val="20"/>
          <w:szCs w:val="20"/>
        </w:rPr>
      </w:pPr>
      <w:r>
        <w:rPr>
          <w:rFonts w:hint="eastAsia" w:ascii="宋体" w:hAnsi="宋体"/>
          <w:b/>
          <w:color w:val="000000" w:themeColor="text1"/>
          <w:spacing w:val="-10"/>
          <w:sz w:val="20"/>
          <w:szCs w:val="20"/>
        </w:rPr>
        <w:t>Q：GB/T19001-2016/ISO9001:2015,E：GB/T 24001-2016/ISO14001:2015,O：GB/T45001-2020 / ISO45001：2018</w:t>
      </w:r>
      <w:bookmarkEnd w:id="4"/>
    </w:p>
    <w:p>
      <w:pPr>
        <w:pStyle w:val="11"/>
        <w:numPr>
          <w:ilvl w:val="0"/>
          <w:numId w:val="0"/>
        </w:numPr>
        <w:ind w:left="-851" w:leftChars="0"/>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北京泰坦中厨科技有限公司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北京市丰台区兆丰园三区11号楼502</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100040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北京市丰台区兆丰园三区11号楼502</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100040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丁泽慧</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17600613708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丁健平</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ind w:firstLine="240" w:firstLineChars="100"/>
              <w:rPr>
                <w:rFonts w:ascii="宋体" w:hAnsi="宋体"/>
                <w:b/>
                <w:color w:val="000000" w:themeColor="text1"/>
                <w:spacing w:val="-20"/>
                <w:sz w:val="20"/>
                <w:szCs w:val="20"/>
              </w:rPr>
            </w:pPr>
            <w:bookmarkStart w:id="15" w:name="最高管理者"/>
            <w:bookmarkEnd w:id="15"/>
            <w:r>
              <w:rPr>
                <w:rFonts w:hint="eastAsia"/>
                <w:sz w:val="24"/>
                <w:szCs w:val="24"/>
              </w:rPr>
              <w:t>丁建平</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刘金波</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Q：厨具 、制冷空调设备、厨房专用设备的销售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E：厨具 、制冷空调设备、厨房专用设备的销售及相关环境管理活动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O：厨具 、制冷空调设备、厨房专用设备的销售及相关职业健康安全管理活动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2019-11-10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300" w:lineRule="exact"/>
              <w:rPr>
                <w:rFonts w:ascii="宋体" w:hAnsi="宋体"/>
                <w:b/>
                <w:color w:val="000000" w:themeColor="text1"/>
                <w:sz w:val="20"/>
                <w:szCs w:val="20"/>
              </w:rPr>
            </w:pPr>
            <w:r>
              <w:rPr>
                <w:rFonts w:hint="eastAsia" w:asciiTheme="minorEastAsia" w:hAnsiTheme="minorEastAsia" w:eastAsiaTheme="minorEastAsia" w:cstheme="minorEastAsia"/>
                <w:sz w:val="21"/>
                <w:szCs w:val="21"/>
              </w:rPr>
              <w:t>管理层</w:t>
            </w:r>
          </w:p>
        </w:tc>
        <w:tc>
          <w:tcPr>
            <w:tcW w:w="6804" w:type="dxa"/>
          </w:tcPr>
          <w:p>
            <w:pPr>
              <w:snapToGrid w:val="0"/>
              <w:spacing w:line="2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与管理层有关的质量、环境、安全职业健康安全管理活动</w:t>
            </w:r>
          </w:p>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300" w:lineRule="exact"/>
              <w:rPr>
                <w:rFonts w:ascii="宋体" w:hAnsi="宋体"/>
                <w:b/>
                <w:color w:val="000000" w:themeColor="text1"/>
                <w:sz w:val="20"/>
                <w:szCs w:val="20"/>
              </w:rPr>
            </w:pPr>
            <w:r>
              <w:rPr>
                <w:rFonts w:hint="eastAsia" w:ascii="宋体" w:hAnsi="宋体" w:cs="宋体"/>
                <w:sz w:val="20"/>
                <w:szCs w:val="20"/>
                <w:lang w:val="en-US" w:eastAsia="zh-CN"/>
              </w:rPr>
              <w:t>销</w:t>
            </w:r>
            <w:r>
              <w:rPr>
                <w:rFonts w:hint="eastAsia" w:ascii="宋体" w:hAnsi="宋体" w:cs="宋体"/>
                <w:color w:val="auto"/>
                <w:sz w:val="20"/>
                <w:szCs w:val="20"/>
                <w:lang w:val="en-US" w:eastAsia="zh-CN"/>
              </w:rPr>
              <w:t>售部</w:t>
            </w:r>
          </w:p>
        </w:tc>
        <w:tc>
          <w:tcPr>
            <w:tcW w:w="6804" w:type="dxa"/>
          </w:tcPr>
          <w:p>
            <w:pPr>
              <w:snapToGrid w:val="0"/>
              <w:spacing w:line="260" w:lineRule="exact"/>
              <w:jc w:val="left"/>
              <w:rPr>
                <w:rFonts w:ascii="宋体" w:hAnsi="宋体"/>
                <w:b/>
                <w:color w:val="000000" w:themeColor="text1"/>
                <w:spacing w:val="-20"/>
                <w:sz w:val="20"/>
                <w:szCs w:val="20"/>
                <w:u w:val="single"/>
              </w:rPr>
            </w:pPr>
            <w:r>
              <w:rPr>
                <w:rFonts w:hint="eastAsia" w:ascii="宋体" w:hAnsi="宋体" w:eastAsia="宋体" w:cs="Times New Roman"/>
                <w:sz w:val="21"/>
                <w:szCs w:val="21"/>
                <w:lang w:val="en-US" w:eastAsia="zh-CN"/>
              </w:rPr>
              <w:t>与供方、客户有关的质量、环境、安全职业健康安全管理活动安全运行控制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spacing w:line="300" w:lineRule="exact"/>
              <w:rPr>
                <w:rFonts w:ascii="宋体" w:hAnsi="宋体"/>
                <w:b/>
                <w:color w:val="000000" w:themeColor="text1"/>
                <w:sz w:val="20"/>
                <w:szCs w:val="20"/>
              </w:rPr>
            </w:pPr>
            <w:r>
              <w:rPr>
                <w:rFonts w:hint="eastAsia" w:asciiTheme="minorEastAsia" w:hAnsiTheme="minorEastAsia" w:eastAsiaTheme="minorEastAsia" w:cstheme="minorEastAsia"/>
                <w:b w:val="0"/>
                <w:bCs w:val="0"/>
                <w:sz w:val="21"/>
                <w:szCs w:val="21"/>
                <w:lang w:val="en-US" w:eastAsia="zh-CN"/>
              </w:rPr>
              <w:t>员工</w:t>
            </w:r>
            <w:r>
              <w:rPr>
                <w:rFonts w:hint="eastAsia" w:asciiTheme="minorEastAsia" w:hAnsiTheme="minorEastAsia" w:eastAsiaTheme="minorEastAsia" w:cstheme="minorEastAsia"/>
                <w:b w:val="0"/>
                <w:bCs w:val="0"/>
                <w:sz w:val="21"/>
                <w:szCs w:val="21"/>
              </w:rPr>
              <w:t>代表</w:t>
            </w:r>
          </w:p>
        </w:tc>
        <w:tc>
          <w:tcPr>
            <w:tcW w:w="6804" w:type="dxa"/>
          </w:tcPr>
          <w:p>
            <w:pPr>
              <w:spacing w:line="300" w:lineRule="exact"/>
              <w:rPr>
                <w:rFonts w:hint="eastAsia" w:asciiTheme="minorEastAsia" w:hAnsiTheme="minorEastAsia" w:eastAsiaTheme="minorEastAsia" w:cstheme="minorEastAsia"/>
                <w:b w:val="0"/>
                <w:bCs w:val="0"/>
                <w:color w:val="auto"/>
                <w:sz w:val="21"/>
                <w:szCs w:val="21"/>
              </w:rPr>
            </w:pPr>
            <w:r>
              <w:rPr>
                <w:rFonts w:hint="eastAsia" w:ascii="宋体" w:hAnsi="宋体" w:eastAsia="宋体" w:cs="Times New Roman"/>
                <w:sz w:val="21"/>
                <w:szCs w:val="21"/>
                <w:lang w:val="en-US" w:eastAsia="zh-CN"/>
              </w:rPr>
              <w:t>职业健康安全事务代表的参与情况</w:t>
            </w:r>
          </w:p>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300" w:lineRule="exact"/>
              <w:rPr>
                <w:rFonts w:ascii="宋体" w:hAnsi="宋体"/>
                <w:b/>
                <w:color w:val="000000" w:themeColor="text1"/>
                <w:szCs w:val="21"/>
              </w:rPr>
            </w:pPr>
            <w:r>
              <w:rPr>
                <w:rFonts w:hint="eastAsia" w:ascii="宋体" w:hAnsi="宋体" w:cs="宋体" w:eastAsiaTheme="minorEastAsia"/>
                <w:sz w:val="20"/>
                <w:lang w:eastAsia="zh-CN"/>
              </w:rPr>
              <w:t>综合部</w:t>
            </w:r>
            <w:r>
              <w:rPr>
                <w:rFonts w:hint="eastAsia" w:asciiTheme="minorEastAsia" w:hAnsiTheme="minorEastAsia" w:eastAsiaTheme="minorEastAsia" w:cstheme="minorEastAsia"/>
                <w:sz w:val="21"/>
                <w:szCs w:val="21"/>
              </w:rPr>
              <w:t>（含财务）</w:t>
            </w:r>
          </w:p>
        </w:tc>
        <w:tc>
          <w:tcPr>
            <w:tcW w:w="6804" w:type="dxa"/>
          </w:tcPr>
          <w:p>
            <w:pPr>
              <w:snapToGrid w:val="0"/>
              <w:spacing w:line="2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目标管理方案,与管理过程控制；人力资源；文件记录控制；内外部信息交流过程；内审管理、与顾客有关的要求、评审变更及顾客满意，质量、环境职业健康安全管理</w:t>
            </w:r>
          </w:p>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b/>
                <w:color w:val="000000" w:themeColor="text1"/>
                <w:sz w:val="20"/>
                <w:szCs w:val="20"/>
              </w:rPr>
            </w:pPr>
            <w:r>
              <w:rPr>
                <w:rFonts w:hint="eastAsia"/>
                <w:b/>
                <w:color w:val="000000" w:themeColor="text1"/>
                <w:sz w:val="20"/>
                <w:szCs w:val="20"/>
                <w:lang w:eastAsia="zh-CN"/>
              </w:rPr>
              <w:t>销售服务</w:t>
            </w:r>
          </w:p>
        </w:tc>
        <w:tc>
          <w:tcPr>
            <w:tcW w:w="2519" w:type="dxa"/>
            <w:vAlign w:val="top"/>
          </w:tcPr>
          <w:p>
            <w:pPr>
              <w:rPr>
                <w:b/>
                <w:color w:val="000000" w:themeColor="text1"/>
                <w:sz w:val="20"/>
                <w:szCs w:val="20"/>
              </w:rPr>
            </w:pPr>
          </w:p>
        </w:tc>
        <w:tc>
          <w:tcPr>
            <w:tcW w:w="1843" w:type="dxa"/>
            <w:vAlign w:val="top"/>
          </w:tcPr>
          <w:p>
            <w:pPr>
              <w:rPr>
                <w:b/>
                <w:color w:val="000000" w:themeColor="text1"/>
                <w:sz w:val="20"/>
                <w:szCs w:val="20"/>
              </w:rPr>
            </w:pPr>
          </w:p>
        </w:tc>
        <w:tc>
          <w:tcPr>
            <w:tcW w:w="3543" w:type="dxa"/>
            <w:vAlign w:val="top"/>
          </w:tcPr>
          <w:p>
            <w:pPr>
              <w:rPr>
                <w:b/>
                <w:color w:val="000000" w:themeColor="text1"/>
                <w:sz w:val="20"/>
                <w:szCs w:val="20"/>
              </w:rPr>
            </w:pPr>
            <w:r>
              <w:rPr>
                <w:rFonts w:hint="eastAsia"/>
                <w:b/>
                <w:color w:val="000000" w:themeColor="text1"/>
                <w:sz w:val="20"/>
                <w:szCs w:val="20"/>
                <w:lang w:eastAsia="zh-CN"/>
              </w:rPr>
              <w:t>合同法、劳动法等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ascii="宋体" w:hAnsi="宋体"/>
          <w:b/>
          <w:color w:val="000000" w:themeColor="text1"/>
          <w:sz w:val="20"/>
          <w:szCs w:val="20"/>
        </w:rPr>
        <w:t>2019-11-10</w:t>
      </w:r>
      <w:r>
        <w:rPr>
          <w:rFonts w:hint="eastAsia"/>
          <w:b/>
          <w:color w:val="000000" w:themeColor="text1"/>
          <w:spacing w:val="-10"/>
          <w:szCs w:val="21"/>
        </w:rPr>
        <w:t>至</w:t>
      </w:r>
      <w:r>
        <w:rPr>
          <w:rFonts w:hint="eastAsia"/>
          <w:b/>
          <w:color w:val="000000" w:themeColor="text1"/>
          <w:spacing w:val="-10"/>
          <w:szCs w:val="21"/>
          <w:lang w:eastAsia="zh-CN"/>
        </w:rPr>
        <w:t>今</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ind w:firstLine="420" w:firstLineChars="200"/>
            </w:pPr>
            <w:r>
              <w:rPr>
                <w:rFonts w:hint="eastAsia" w:ascii="Arial" w:hAnsi="Arial" w:cs="Arial"/>
              </w:rPr>
              <w:t>北京泰坦中厨科技有限公司成立于2012 年</w:t>
            </w:r>
            <w:r>
              <w:rPr>
                <w:rStyle w:val="18"/>
                <w:rFonts w:hint="eastAsia"/>
              </w:rPr>
              <w:t>2月17日</w:t>
            </w:r>
            <w:r>
              <w:rPr>
                <w:rStyle w:val="18"/>
                <w:rFonts w:hint="eastAsia" w:ascii="Arial" w:hAnsi="Arial" w:cs="Arial"/>
              </w:rPr>
              <w:t>，营业期限：2012年2月17日-2062年2月16日，注册资金：1860万，企业信用代码：911101065906521202，注册地址：</w:t>
            </w:r>
            <w:r>
              <w:rPr>
                <w:rFonts w:hint="eastAsia" w:ascii="宋体" w:hAnsi="宋体"/>
                <w:bCs/>
                <w:szCs w:val="21"/>
              </w:rPr>
              <w:t>北京市丰台区兆丰园11号楼5层502</w:t>
            </w:r>
            <w:r>
              <w:rPr>
                <w:rStyle w:val="18"/>
                <w:rFonts w:hint="eastAsia" w:ascii="Arial" w:hAnsi="Arial" w:cs="Arial"/>
              </w:rPr>
              <w:t>，经营范围包括</w:t>
            </w:r>
            <w:r>
              <w:rPr>
                <w:rFonts w:hint="eastAsia" w:ascii="Arial" w:hAnsi="Arial" w:cs="Arial"/>
              </w:rPr>
              <w:t>经营范围包括</w:t>
            </w:r>
            <w:r>
              <w:t>厨具 、制冷空调设备、厨房专用设备的销售</w:t>
            </w:r>
            <w:r>
              <w:rPr>
                <w:rFonts w:hint="eastAsia" w:ascii="Arial" w:hAnsi="Arial" w:cs="Arial"/>
              </w:rPr>
              <w:t>。</w:t>
            </w:r>
          </w:p>
          <w:p>
            <w:pPr>
              <w:rPr>
                <w:rStyle w:val="18"/>
                <w:rFonts w:ascii="Arial" w:hAnsi="Arial" w:cs="Arial"/>
                <w:shd w:val="clear" w:color="auto" w:fill="FFFFFF"/>
              </w:rPr>
            </w:pPr>
            <w:r>
              <w:rPr>
                <w:rStyle w:val="18"/>
              </w:rPr>
              <w:t> </w:t>
            </w:r>
            <w:r>
              <w:rPr>
                <w:rStyle w:val="18"/>
                <w:rFonts w:hint="eastAsia" w:ascii="Arial" w:hAnsi="Arial" w:cs="Arial"/>
                <w:shd w:val="clear" w:color="auto" w:fill="FFFFFF"/>
              </w:rPr>
              <w:t>公司的主要客户群为北京的企业等；公司采用总经理负责制，层层把关，让用户真正放心</w:t>
            </w:r>
          </w:p>
          <w:p>
            <w:pPr>
              <w:spacing w:line="400" w:lineRule="exact"/>
              <w:rPr>
                <w:rStyle w:val="18"/>
                <w:rFonts w:ascii="Arial" w:hAnsi="Arial" w:cs="Arial"/>
                <w:shd w:val="clear" w:color="auto" w:fill="FFFFFF"/>
              </w:rPr>
            </w:pPr>
            <w:r>
              <w:rPr>
                <w:rStyle w:val="18"/>
                <w:rFonts w:hint="eastAsia" w:ascii="Arial" w:hAnsi="Arial" w:cs="Arial"/>
                <w:shd w:val="clear" w:color="auto" w:fill="FFFFFF"/>
              </w:rPr>
              <w:t>远程</w:t>
            </w:r>
            <w:r>
              <w:rPr>
                <w:rStyle w:val="18"/>
                <w:rFonts w:ascii="Arial" w:hAnsi="Arial" w:cs="Arial"/>
                <w:shd w:val="clear" w:color="auto" w:fill="FFFFFF"/>
              </w:rPr>
              <w:t>见到营业执照，见附件。</w:t>
            </w:r>
          </w:p>
          <w:p>
            <w:pPr>
              <w:spacing w:line="400" w:lineRule="exact"/>
            </w:pPr>
            <w:r>
              <w:rPr>
                <w:rStyle w:val="18"/>
                <w:rFonts w:hint="eastAsia" w:ascii="Arial" w:hAnsi="Arial" w:cs="Arial"/>
                <w:shd w:val="clear" w:color="auto" w:fill="FFFFFF"/>
              </w:rPr>
              <w:t>管理手册，实施、发布日期：2019.11.10；远程视频查看，办公区面积约50平米，仓库区域面积约400平米。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autoSpaceDE w:val="0"/>
              <w:autoSpaceDN w:val="0"/>
              <w:adjustRightInd w:val="0"/>
              <w:spacing w:line="360" w:lineRule="auto"/>
              <w:rPr>
                <w:rFonts w:ascii="宋体" w:hAnsi="宋体" w:cs="宋体"/>
                <w:szCs w:val="21"/>
              </w:rPr>
            </w:pPr>
            <w:r>
              <w:rPr>
                <w:rFonts w:hint="eastAsia" w:ascii="宋体" w:hAnsi="宋体" w:cs="宋体"/>
                <w:szCs w:val="21"/>
              </w:rPr>
              <w:t>公司的相关方包括：顾客、员工、银行、外部供应商、雇员及其他为组织工作者、法律法规及监管机关、非政府组织等。</w:t>
            </w:r>
          </w:p>
          <w:p>
            <w:pPr>
              <w:autoSpaceDE w:val="0"/>
              <w:autoSpaceDN w:val="0"/>
              <w:adjustRightInd w:val="0"/>
              <w:spacing w:line="360" w:lineRule="auto"/>
              <w:rPr>
                <w:rFonts w:ascii="宋体" w:hAnsi="宋体" w:cs="宋体"/>
                <w:szCs w:val="21"/>
              </w:rPr>
            </w:pPr>
            <w:r>
              <w:rPr>
                <w:rFonts w:hint="eastAsia" w:ascii="宋体" w:hAnsi="宋体" w:cs="宋体"/>
                <w:szCs w:val="21"/>
              </w:rPr>
              <w:t>公司对这些相关方及其要求的相关信息进行监视和评审，理解和持续满足相关方的需求和期望。</w:t>
            </w:r>
          </w:p>
          <w:p>
            <w:pPr>
              <w:pStyle w:val="2"/>
              <w:numPr>
                <w:ilvl w:val="0"/>
                <w:numId w:val="0"/>
              </w:numPr>
            </w:pPr>
            <w:r>
              <w:rPr>
                <w:rFonts w:hint="eastAsia"/>
              </w:rPr>
              <w:t>查组织环境分析报告，对客户，供应商、审核机构及政府机构进行了分析。报告日期为2019.11.10，编制人为马云龙，审批人为丁建平。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80" w:lineRule="exact"/>
              <w:rPr>
                <w:rFonts w:hint="eastAsia" w:ascii="宋体" w:hAnsi="宋体"/>
                <w:b/>
                <w:color w:val="000000" w:themeColor="text1"/>
                <w:sz w:val="20"/>
                <w:szCs w:val="20"/>
              </w:rPr>
            </w:pP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80" w:lineRule="exact"/>
              <w:ind w:firstLine="420" w:firstLineChars="200"/>
              <w:rPr>
                <w:rFonts w:ascii="宋体" w:hAnsi="宋体" w:cs="宋体"/>
                <w:szCs w:val="21"/>
              </w:rPr>
            </w:pPr>
            <w:r>
              <w:rPr>
                <w:rFonts w:hint="eastAsia" w:ascii="宋体" w:hAnsi="宋体" w:cs="宋体"/>
                <w:szCs w:val="21"/>
              </w:rPr>
              <w:t>该公司管理方针</w:t>
            </w:r>
          </w:p>
          <w:p>
            <w:pPr>
              <w:autoSpaceDE w:val="0"/>
              <w:autoSpaceDN w:val="0"/>
              <w:adjustRightInd w:val="0"/>
              <w:spacing w:line="280" w:lineRule="exact"/>
              <w:ind w:left="578" w:leftChars="275" w:firstLine="420" w:firstLineChars="200"/>
              <w:rPr>
                <w:rFonts w:ascii="宋体" w:hAnsi="宋体" w:cs="宋体"/>
                <w:szCs w:val="21"/>
              </w:rPr>
            </w:pPr>
            <w:r>
              <w:rPr>
                <w:rFonts w:hint="eastAsia" w:ascii="宋体" w:hAnsi="宋体" w:cs="宋体"/>
                <w:szCs w:val="21"/>
              </w:rPr>
              <w:t>守法诚信追求质量，预防污染保护环境；</w:t>
            </w:r>
          </w:p>
          <w:p>
            <w:pPr>
              <w:autoSpaceDE w:val="0"/>
              <w:autoSpaceDN w:val="0"/>
              <w:adjustRightInd w:val="0"/>
              <w:spacing w:line="280" w:lineRule="exact"/>
              <w:ind w:firstLine="420" w:firstLineChars="200"/>
              <w:rPr>
                <w:rFonts w:ascii="宋体" w:hAnsi="宋体" w:cs="宋体"/>
                <w:szCs w:val="21"/>
              </w:rPr>
            </w:pPr>
            <w:r>
              <w:rPr>
                <w:rFonts w:hint="eastAsia" w:ascii="宋体" w:hAnsi="宋体" w:cs="宋体"/>
                <w:szCs w:val="21"/>
              </w:rPr>
              <w:t xml:space="preserve"> 关爱员工健康安全，持续改进追求卓越。</w:t>
            </w:r>
          </w:p>
          <w:p>
            <w:pPr>
              <w:spacing w:line="280" w:lineRule="exact"/>
              <w:ind w:firstLine="420" w:firstLineChars="200"/>
              <w:rPr>
                <w:rFonts w:ascii="宋体" w:hAnsi="宋体" w:cs="宋体"/>
                <w:szCs w:val="21"/>
              </w:rPr>
            </w:pPr>
            <w:r>
              <w:rPr>
                <w:rFonts w:hint="eastAsia" w:ascii="宋体" w:hAnsi="宋体" w:cs="宋体"/>
                <w:szCs w:val="21"/>
              </w:rPr>
              <w:t>公司以质量、环境、职业健康安全标准为基础，结合公司实际特制定管理方针。与总经理进行交谈，总经理丁建平对方针内涵的理解较深刻。方针能为制定目标提供框架，方针基本符合标准的要求。</w:t>
            </w:r>
          </w:p>
          <w:p>
            <w:pPr>
              <w:spacing w:line="280" w:lineRule="exact"/>
              <w:ind w:firstLine="420" w:firstLineChars="200"/>
              <w:rPr>
                <w:rFonts w:ascii="宋体" w:hAnsi="宋体" w:cs="宋体"/>
                <w:szCs w:val="21"/>
              </w:rPr>
            </w:pPr>
            <w:r>
              <w:rPr>
                <w:rFonts w:hint="eastAsia" w:ascii="宋体" w:hAnsi="宋体" w:cs="宋体"/>
                <w:szCs w:val="21"/>
              </w:rPr>
              <w:t>总经理用会议、文件等手段保证管理方针为全体员工理解并落实到工作中。丁建平总经理说管理评审时对方针的持续适宜性进行了评审，有评审记录。</w:t>
            </w:r>
          </w:p>
          <w:p>
            <w:pPr>
              <w:pStyle w:val="2"/>
              <w:numPr>
                <w:ilvl w:val="0"/>
                <w:numId w:val="0"/>
              </w:numPr>
              <w:rPr>
                <w:b/>
                <w:color w:val="000000" w:themeColor="text1"/>
              </w:rPr>
            </w:pPr>
            <w:r>
              <w:rPr>
                <w:rFonts w:hint="eastAsia" w:ascii="宋体" w:hAnsi="宋体" w:cs="宋体"/>
                <w:szCs w:val="21"/>
              </w:rPr>
              <w:t>以上管理方针通过文件、培训等形式将公司管理方针传达给所有为公司工作或代表公司的人员，相关方也可通过综合部获取公司管理方针。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风险识别与控制策划（QMS）</w:t>
            </w:r>
          </w:p>
          <w:p>
            <w:pPr>
              <w:ind w:firstLine="420" w:firstLineChars="200"/>
            </w:pPr>
            <w:r>
              <w:rPr>
                <w:rFonts w:hint="eastAsia"/>
              </w:rPr>
              <w:t>企业识别了如下分析：</w:t>
            </w:r>
          </w:p>
          <w:p>
            <w:r>
              <w:rPr>
                <w:rFonts w:hint="eastAsia"/>
              </w:rPr>
              <w:t>1、政策风险：公司属于销售行业，主要客户为各企事业单位，及个体经营者、厂区，有产业和政策调整的风险较小。但为了防止未来有可能发生改变的政策，企业拟在其它类型的工作业务扩大做准备。</w:t>
            </w:r>
          </w:p>
          <w:p>
            <w:r>
              <w:rPr>
                <w:rFonts w:hint="eastAsia"/>
              </w:rPr>
              <w:t>2、资金风险：产品及人工成本不断提高，是对资金风险的考验，但不会是关键风险。</w:t>
            </w:r>
          </w:p>
          <w:p>
            <w:r>
              <w:rPr>
                <w:rFonts w:hint="eastAsia"/>
              </w:rPr>
              <w:t>3、技术风险：公司拟招聘经验丰富的技术服务人员，并不断组织人员到同行优秀企业学习，加大产品服务及后期作业工作能力的提升，不断提高我企业的行业竞争能力，规避相关技术风险。</w:t>
            </w:r>
          </w:p>
          <w:p>
            <w:r>
              <w:rPr>
                <w:rFonts w:hint="eastAsia"/>
              </w:rPr>
              <w:t>4、管理风险：管理一个企业主要是建立一个团队，要有健全的规章制度，让每一个员工都在可控的状态下工作，给每个员工创造发展的空间，让每个职责部门的领导对自己所领导的部门承担全部权利和义务，公司综合部负责管理人员的登记造册、技能培训、人员招聘等，并加大培训力度多方储备人才，防止因人员的流失而造成工作的停滞，造成损失。</w:t>
            </w:r>
          </w:p>
          <w:p>
            <w:r>
              <w:rPr>
                <w:rFonts w:hint="eastAsia"/>
              </w:rPr>
              <w:t>5、来自市场的风险，加强公司内部人员的基础素质，提高专业技能、对于公司内部的机密信息不能外泄，保护好公司的内部人员，防止公司内部人员的流失。</w:t>
            </w:r>
          </w:p>
          <w:p>
            <w:pPr>
              <w:pStyle w:val="2"/>
              <w:numPr>
                <w:ilvl w:val="0"/>
                <w:numId w:val="0"/>
              </w:numPr>
              <w:ind w:leftChars="0"/>
            </w:pPr>
            <w:r>
              <w:rPr>
                <w:rFonts w:hint="eastAsia"/>
              </w:rPr>
              <w:t>风险评估结论：对于以上涉及到的主要风险，一旦发生，均可能对公司的发展造成巨大损失，所以我们应时刻监视并评价相关环境因素，尽可能的规避风险或降低发生概率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按照与顾客签订的供货合同及公司储运流程执行销售工作。并严格遵照执行公司制定的：《顾客满意程度测量程序</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TTZT -CX-9.1.2-23》、销售管理制度 等程序和相关制度。</w:t>
            </w:r>
          </w:p>
          <w:p>
            <w:pPr>
              <w:spacing w:line="360" w:lineRule="auto"/>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销售流程</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客户接触----合同评审----签订合同-----客户付款------入帐------供方评定→签订采购合同→供方发货→验收-----客户提货-----验收----满意度调查</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t>需确认过程：销售服务过程，有确认记录，见</w:t>
            </w:r>
            <w:r>
              <w:rPr>
                <w:rFonts w:hint="eastAsia" w:asciiTheme="minorEastAsia" w:hAnsiTheme="minorEastAsia" w:eastAsiaTheme="minorEastAsia" w:cstheme="minorEastAsia"/>
                <w:sz w:val="21"/>
                <w:szCs w:val="21"/>
              </w:rPr>
              <w:t>Q8.5.1</w:t>
            </w:r>
          </w:p>
          <w:p>
            <w:pPr>
              <w:tabs>
                <w:tab w:val="left" w:pos="540"/>
              </w:tabs>
              <w:spacing w:line="300" w:lineRule="exact"/>
              <w:ind w:left="201" w:hanging="210" w:hangingChars="100"/>
              <w:rPr>
                <w:rFonts w:hint="eastAsia" w:ascii="宋体" w:hAnsi="宋体"/>
                <w:b/>
                <w:color w:val="000000" w:themeColor="text1"/>
                <w:sz w:val="20"/>
                <w:szCs w:val="20"/>
              </w:rPr>
            </w:pPr>
            <w:r>
              <w:rPr>
                <w:rFonts w:hint="eastAsia" w:asciiTheme="minorEastAsia" w:hAnsiTheme="minorEastAsia" w:eastAsiaTheme="minorEastAsia" w:cstheme="minorEastAsia"/>
                <w:sz w:val="21"/>
                <w:szCs w:val="21"/>
              </w:rPr>
              <w:t>查到制定了销售计划；经确认：销售实现过程没有外包过程</w:t>
            </w:r>
            <w:r>
              <w:rPr>
                <w:rFonts w:hint="eastAsia" w:asciiTheme="minorEastAsia" w:hAnsiTheme="minorEastAsia" w:eastAsiaTheme="minorEastAsia" w:cstheme="minorEastAsia"/>
                <w:sz w:val="21"/>
                <w:szCs w:val="21"/>
                <w:lang w:eastAsia="zh-CN"/>
              </w:rPr>
              <w:t>，客户采用自提方式取货</w:t>
            </w:r>
          </w:p>
          <w:p>
            <w:pPr>
              <w:pStyle w:val="2"/>
            </w:pP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w:t>
            </w:r>
            <w:r>
              <w:rPr>
                <w:rFonts w:hint="eastAsia" w:ascii="宋体" w:hAnsi="宋体"/>
                <w:b/>
                <w:color w:val="000000" w:themeColor="text1"/>
                <w:sz w:val="20"/>
                <w:szCs w:val="20"/>
                <w:u w:val="none"/>
              </w:rPr>
              <w:t xml:space="preserve">是 </w:t>
            </w:r>
            <w:r>
              <w:rPr>
                <w:rStyle w:val="18"/>
                <w:rFonts w:ascii="Arial" w:hAnsi="Arial" w:cs="Arial"/>
                <w:u w:val="none"/>
                <w:shd w:val="clear" w:color="auto" w:fill="FFFFFF"/>
              </w:rPr>
              <w:t>QMS</w:t>
            </w:r>
            <w:r>
              <w:rPr>
                <w:rStyle w:val="18"/>
                <w:rFonts w:hint="eastAsia" w:ascii="Arial" w:hAnsi="Arial" w:cs="Arial"/>
                <w:u w:val="none"/>
                <w:shd w:val="clear" w:color="auto" w:fill="FFFFFF"/>
              </w:rPr>
              <w:t>：8.3</w:t>
            </w:r>
            <w:r>
              <w:rPr>
                <w:rStyle w:val="18"/>
                <w:rFonts w:hint="eastAsia" w:ascii="Arial" w:hAnsi="Arial" w:cs="Arial"/>
                <w:u w:val="none"/>
                <w:shd w:val="clear" w:color="auto" w:fill="FFFFFF"/>
                <w:lang w:eastAsia="zh-CN"/>
              </w:rPr>
              <w:t>，</w:t>
            </w:r>
            <w:r>
              <w:rPr>
                <w:rStyle w:val="18"/>
                <w:rFonts w:hint="eastAsia" w:ascii="Arial" w:hAnsi="Arial" w:cs="Arial"/>
                <w:u w:val="none"/>
                <w:shd w:val="clear" w:color="auto" w:fill="FFFFFF"/>
              </w:rPr>
              <w:t>不适合条款的确认理由：公司的产品销售,根据常规的销售模式进行，因此标准8.3条款“产品和服务的设计和开发”要求不适用。不适用8.3条款不影响本公司提供满足客户要求和适用法律法规要求的产品能力或责任的要求</w:t>
            </w:r>
            <w:r>
              <w:rPr>
                <w:rStyle w:val="18"/>
                <w:rFonts w:hint="eastAsia" w:ascii="Arial" w:hAnsi="Arial" w:cs="Arial"/>
                <w:shd w:val="clear" w:color="auto" w:fill="FFFFFF"/>
              </w:rPr>
              <w:t>。</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编制了《环境因素识别与评价控制程序》，经查基本符合标准要求。</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提供《环境因素评价表》，其中涉及</w:t>
            </w:r>
            <w:r>
              <w:rPr>
                <w:rFonts w:hint="eastAsia" w:asciiTheme="minorEastAsia" w:hAnsiTheme="minorEastAsia" w:eastAsiaTheme="minorEastAsia" w:cstheme="minorEastAsia"/>
                <w:color w:val="auto"/>
                <w:sz w:val="21"/>
                <w:szCs w:val="21"/>
                <w:lang w:val="en-US" w:eastAsia="zh-CN"/>
              </w:rPr>
              <w:t>销售部</w:t>
            </w:r>
            <w:r>
              <w:rPr>
                <w:rFonts w:hint="eastAsia" w:asciiTheme="minorEastAsia" w:hAnsiTheme="minorEastAsia" w:eastAsiaTheme="minorEastAsia" w:cstheme="minorEastAsia"/>
                <w:color w:val="auto"/>
                <w:sz w:val="21"/>
                <w:szCs w:val="21"/>
              </w:rPr>
              <w:t>包括固废废弃、宣传册的废弃、意外火灾、原材料损耗、资源的消耗等。</w:t>
            </w:r>
          </w:p>
          <w:p>
            <w:pPr>
              <w:spacing w:line="300" w:lineRule="exact"/>
              <w:rPr>
                <w:b/>
                <w:color w:val="000000" w:themeColor="text1"/>
                <w:sz w:val="20"/>
                <w:szCs w:val="20"/>
              </w:rPr>
            </w:pPr>
            <w:r>
              <w:rPr>
                <w:rFonts w:hint="eastAsia" w:asciiTheme="minorEastAsia" w:hAnsiTheme="minorEastAsia" w:eastAsiaTheme="minorEastAsia" w:cstheme="minorEastAsia"/>
                <w:color w:val="auto"/>
                <w:sz w:val="21"/>
                <w:szCs w:val="21"/>
              </w:rPr>
              <w:t>可以提供《重要环境因素清单》，其中涉及</w:t>
            </w:r>
            <w:r>
              <w:rPr>
                <w:rFonts w:hint="eastAsia" w:asciiTheme="minorEastAsia" w:hAnsiTheme="minorEastAsia" w:eastAsiaTheme="minorEastAsia" w:cstheme="minorEastAsia"/>
                <w:color w:val="auto"/>
                <w:sz w:val="21"/>
                <w:szCs w:val="21"/>
                <w:lang w:val="en-US" w:eastAsia="zh-CN"/>
              </w:rPr>
              <w:t>销售部</w:t>
            </w:r>
            <w:r>
              <w:rPr>
                <w:rFonts w:hint="eastAsia" w:asciiTheme="minorEastAsia" w:hAnsiTheme="minorEastAsia" w:eastAsiaTheme="minorEastAsia" w:cstheme="minorEastAsia"/>
                <w:color w:val="auto"/>
                <w:sz w:val="21"/>
                <w:szCs w:val="21"/>
              </w:rPr>
              <w:t>的重要环境因素：火灾的发生。评价基本合理。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pPr>
            <w:r>
              <w:rPr>
                <w:rFonts w:hint="eastAsia"/>
              </w:rPr>
              <w:t xml:space="preserve">7. </w:t>
            </w:r>
            <w:r>
              <w:t>OHSMS</w:t>
            </w:r>
            <w:r>
              <w:rPr>
                <w:rFonts w:hint="eastAsia"/>
              </w:rPr>
              <w:t>职业健康安全危险源</w:t>
            </w:r>
          </w:p>
          <w:p>
            <w:pPr>
              <w:rPr>
                <w:b/>
                <w:color w:val="000000" w:themeColor="text1"/>
                <w:sz w:val="20"/>
                <w:szCs w:val="20"/>
              </w:rPr>
            </w:pPr>
            <w:r>
              <w:rPr>
                <w:rFonts w:hint="eastAsia" w:asciiTheme="minorEastAsia" w:hAnsiTheme="minorEastAsia" w:eastAsiaTheme="minorEastAsia" w:cstheme="minorEastAsia"/>
                <w:color w:val="auto"/>
                <w:sz w:val="21"/>
                <w:szCs w:val="21"/>
              </w:rPr>
              <w:t>提供了职业健康安全危险源识别与评价表，涉及本部门的危险源包括：使用电器不当造成触电，搬运货物造成的砸伤，吸烟乱扔烟头导致火灾，上下班途中交通危险，电器短路或使用时间过长散热不良。用LEC法对识别的危险源进行评价，本部门不可接受风险：火灾、触电</w:t>
            </w:r>
            <w:r>
              <w:rPr>
                <w:rFonts w:hint="eastAsia" w:asciiTheme="minorEastAsia" w:hAnsiTheme="minorEastAsia" w:eastAsiaTheme="minorEastAsia" w:cstheme="minorEastAsia"/>
                <w:color w:val="auto"/>
                <w:sz w:val="21"/>
                <w:szCs w:val="21"/>
                <w:lang w:eastAsia="zh-CN"/>
              </w:rPr>
              <w:t>、意外伤害和新冠疫情</w:t>
            </w:r>
            <w:r>
              <w:rPr>
                <w:rFonts w:hint="eastAsia" w:asciiTheme="minorEastAsia" w:hAnsiTheme="minorEastAsia" w:eastAsiaTheme="minorEastAsia" w:cstheme="minorEastAsia"/>
                <w:color w:val="auto"/>
                <w:sz w:val="21"/>
                <w:szCs w:val="21"/>
              </w:rPr>
              <w:t>，评价基本准确。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7"/>
              <w:numPr>
                <w:ilvl w:val="0"/>
                <w:numId w:val="4"/>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7"/>
              <w:numPr>
                <w:ilvl w:val="0"/>
                <w:numId w:val="4"/>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rPr>
                <w:rFonts w:ascii="宋体" w:hAnsi="宋体"/>
                <w:b/>
                <w:color w:val="000000" w:themeColor="text1"/>
                <w:sz w:val="20"/>
                <w:szCs w:val="20"/>
              </w:rPr>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ascii="宋体" w:hAnsi="宋体"/>
                <w:b/>
                <w:color w:val="000000" w:themeColor="text1"/>
                <w:sz w:val="20"/>
                <w:szCs w:val="20"/>
                <w:lang w:eastAsia="zh-CN"/>
              </w:rPr>
              <w:t>目前员工人数满足要求，暂无新员工。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ind w:firstLine="420" w:firstLineChars="200"/>
              <w:rPr>
                <w:rFonts w:hint="eastAsia"/>
                <w:color w:val="auto"/>
                <w:sz w:val="21"/>
                <w:szCs w:val="21"/>
                <w:lang w:val="en-US" w:eastAsia="zh-CN"/>
              </w:rPr>
            </w:pPr>
            <w:r>
              <w:rPr>
                <w:rFonts w:hint="eastAsia" w:cs="宋体"/>
                <w:color w:val="auto"/>
              </w:rPr>
              <w:t>主要是办公设备，包括：</w:t>
            </w:r>
            <w:r>
              <w:rPr>
                <w:rFonts w:hint="eastAsia"/>
                <w:color w:val="auto"/>
                <w:sz w:val="21"/>
                <w:szCs w:val="21"/>
                <w:lang w:eastAsia="zh-CN"/>
              </w:rPr>
              <w:t>电脑、电话、</w:t>
            </w:r>
            <w:r>
              <w:rPr>
                <w:rFonts w:hint="eastAsia"/>
                <w:color w:val="auto"/>
                <w:sz w:val="21"/>
                <w:szCs w:val="21"/>
                <w:lang w:val="en-US" w:eastAsia="zh-CN"/>
              </w:rPr>
              <w:t>办公桌椅、展板、文件柜、</w:t>
            </w:r>
            <w:r>
              <w:rPr>
                <w:rFonts w:hint="eastAsia"/>
                <w:color w:val="auto"/>
                <w:sz w:val="21"/>
                <w:szCs w:val="21"/>
                <w:lang w:eastAsia="zh-CN"/>
              </w:rPr>
              <w:t>汽车</w:t>
            </w:r>
            <w:r>
              <w:rPr>
                <w:rFonts w:hint="eastAsia" w:cs="宋体"/>
                <w:color w:val="auto"/>
              </w:rPr>
              <w:t>等</w:t>
            </w:r>
            <w:r>
              <w:rPr>
                <w:rFonts w:hint="eastAsia" w:cs="宋体"/>
                <w:color w:val="auto"/>
                <w:lang w:eastAsia="zh-CN"/>
              </w:rPr>
              <w:t>；</w:t>
            </w:r>
            <w:r>
              <w:rPr>
                <w:rFonts w:hint="eastAsia"/>
                <w:color w:val="auto"/>
                <w:sz w:val="21"/>
                <w:szCs w:val="21"/>
                <w:lang w:val="en-US" w:eastAsia="zh-CN"/>
              </w:rPr>
              <w:t>办公室</w:t>
            </w:r>
            <w:r>
              <w:rPr>
                <w:rFonts w:hint="eastAsia" w:ascii="Times New Roman" w:hAnsi="Times New Roman"/>
                <w:color w:val="auto"/>
                <w:sz w:val="21"/>
                <w:szCs w:val="21"/>
              </w:rPr>
              <w:t>电脑、传真、打印机及网络运行正常</w:t>
            </w:r>
            <w:r>
              <w:rPr>
                <w:rFonts w:hint="eastAsia"/>
                <w:color w:val="auto"/>
                <w:sz w:val="21"/>
                <w:szCs w:val="21"/>
                <w:lang w:eastAsia="zh-CN"/>
              </w:rPr>
              <w:t>，</w:t>
            </w:r>
            <w:r>
              <w:rPr>
                <w:rFonts w:hint="eastAsia" w:cs="宋体"/>
                <w:color w:val="auto"/>
              </w:rPr>
              <w:t>日常维护保养包括对电脑的定期杀毒，车的定期保养、大中小修、定期年检。全部完好。</w:t>
            </w:r>
            <w:r>
              <w:rPr>
                <w:rFonts w:hint="eastAsia"/>
                <w:color w:val="auto"/>
                <w:sz w:val="21"/>
                <w:szCs w:val="21"/>
                <w:lang w:val="en-US" w:eastAsia="zh-CN"/>
              </w:rPr>
              <w:t>库房物品放置基本有秩序；</w:t>
            </w:r>
          </w:p>
          <w:p>
            <w:pPr>
              <w:spacing w:line="400" w:lineRule="exact"/>
              <w:ind w:firstLine="420" w:firstLineChars="200"/>
              <w:rPr>
                <w:rFonts w:ascii="宋体" w:hAnsi="宋体"/>
                <w:b/>
                <w:color w:val="000000" w:themeColor="text1"/>
                <w:sz w:val="20"/>
                <w:szCs w:val="20"/>
              </w:rPr>
            </w:pPr>
            <w:r>
              <w:rPr>
                <w:rFonts w:hint="eastAsia"/>
                <w:color w:val="auto"/>
                <w:szCs w:val="21"/>
                <w:highlight w:val="none"/>
              </w:rPr>
              <w:t>消防栓、灭火器</w:t>
            </w:r>
            <w:r>
              <w:rPr>
                <w:rFonts w:hint="eastAsia"/>
                <w:color w:val="auto"/>
                <w:szCs w:val="21"/>
                <w:highlight w:val="none"/>
                <w:lang w:val="en-US" w:eastAsia="zh-CN"/>
              </w:rPr>
              <w:t>若干，</w:t>
            </w:r>
            <w:r>
              <w:rPr>
                <w:rFonts w:hint="eastAsia"/>
                <w:color w:val="auto"/>
                <w:szCs w:val="21"/>
                <w:highlight w:val="none"/>
              </w:rPr>
              <w:t>配电箱</w:t>
            </w:r>
            <w:r>
              <w:rPr>
                <w:rFonts w:hint="eastAsia"/>
                <w:color w:val="auto"/>
                <w:szCs w:val="21"/>
                <w:highlight w:val="none"/>
                <w:lang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rPr>
                <w:rFonts w:ascii="宋体" w:hAnsi="宋体"/>
                <w:b/>
                <w:color w:val="000000" w:themeColor="text1"/>
                <w:sz w:val="20"/>
                <w:szCs w:val="20"/>
              </w:rPr>
            </w:pPr>
            <w:r>
              <w:rPr>
                <w:rFonts w:hint="eastAsia"/>
              </w:rPr>
              <w:t>现场观察生产区和办公区域环境卫生管理，工作场所布局合理，温湿度适宜，照明良好，满足办公需求。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rPr>
                <w:rFonts w:hint="eastAsia" w:eastAsia="宋体" w:cs="Lucida Sans"/>
                <w:b/>
                <w:szCs w:val="20"/>
                <w:lang w:eastAsia="zh-CN"/>
              </w:rPr>
            </w:pPr>
            <w:r>
              <w:rPr>
                <w:rFonts w:hint="eastAsia" w:cs="Lucida Sans"/>
                <w:b/>
                <w:szCs w:val="20"/>
              </w:rPr>
              <w:t>监视和测量设备有：</w:t>
            </w:r>
            <w:r>
              <w:rPr>
                <w:rFonts w:hint="eastAsia" w:cs="Lucida Sans"/>
                <w:b/>
                <w:szCs w:val="20"/>
                <w:lang w:val="en-US" w:eastAsia="zh-CN"/>
              </w:rPr>
              <w:t>无</w:t>
            </w:r>
          </w:p>
          <w:p>
            <w:pPr>
              <w:spacing w:line="240" w:lineRule="exact"/>
              <w:rPr>
                <w:rFonts w:ascii="宋体" w:hAnsi="宋体"/>
                <w:b/>
                <w:color w:val="000000" w:themeColor="text1"/>
                <w:sz w:val="20"/>
                <w:szCs w:val="20"/>
              </w:rPr>
            </w:pPr>
            <w:r>
              <w:rPr>
                <w:rFonts w:hint="eastAsia"/>
              </w:rPr>
              <w:t>编制有监测和测量检查记录，能不定期对服务进行检查。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灭火器</w:t>
            </w:r>
            <w:r>
              <w:rPr>
                <w:rFonts w:hint="eastAsia"/>
                <w:szCs w:val="21"/>
              </w:rPr>
              <w:t>、</w:t>
            </w:r>
            <w:r>
              <w:rPr>
                <w:rFonts w:hint="eastAsia" w:cs="Lucida Sans"/>
                <w:b/>
                <w:szCs w:val="20"/>
              </w:rPr>
              <w:t>垃圾桶</w:t>
            </w:r>
            <w:r>
              <w:rPr>
                <w:rFonts w:hint="eastAsia"/>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b/>
                <w:bCs/>
              </w:rPr>
            </w:pPr>
            <w:r>
              <w:rPr>
                <w:rFonts w:hint="eastAsia"/>
                <w:b/>
                <w:bCs/>
              </w:rPr>
              <w:t>职业健康安全设施：</w:t>
            </w:r>
          </w:p>
          <w:p>
            <w:pPr>
              <w:pStyle w:val="2"/>
              <w:rPr>
                <w:rFonts w:ascii="宋体" w:hAnsi="宋体"/>
                <w:b/>
                <w:color w:val="000000" w:themeColor="text1"/>
                <w:sz w:val="20"/>
                <w:szCs w:val="20"/>
              </w:rPr>
            </w:pPr>
            <w:r>
              <w:rPr>
                <w:rFonts w:hint="eastAsia" w:cs="Lucida Sans"/>
                <w:b/>
                <w:szCs w:val="20"/>
              </w:rPr>
              <w:t>标识牌、灭火器</w:t>
            </w:r>
            <w:r>
              <w:rPr>
                <w:rFonts w:hint="eastAsia" w:cs="Lucida Sans"/>
                <w:b/>
                <w:szCs w:val="20"/>
                <w:lang w:eastAsia="zh-CN"/>
              </w:rPr>
              <w:t>等</w:t>
            </w:r>
            <w:r>
              <w:rPr>
                <w:rFonts w:hint="eastAsia" w:cs="Lucida Sans"/>
                <w:b/>
                <w:szCs w:val="20"/>
              </w:rPr>
              <w:t>消防器材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bCs/>
              </w:rPr>
              <w:t>1. 针对方针的管理职责评审</w:t>
            </w:r>
          </w:p>
          <w:p>
            <w:pPr>
              <w:spacing w:line="300" w:lineRule="exact"/>
              <w:ind w:left="1" w:leftChars="0"/>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jc w:val="left"/>
              <w:rPr>
                <w:bCs/>
                <w:szCs w:val="21"/>
              </w:rPr>
            </w:pPr>
          </w:p>
          <w:p>
            <w:pPr>
              <w:jc w:val="left"/>
              <w:rPr>
                <w:b/>
                <w:color w:val="000000" w:themeColor="text1"/>
                <w:sz w:val="20"/>
                <w:szCs w:val="20"/>
              </w:rPr>
            </w:pPr>
            <w:r>
              <w:rPr>
                <w:rFonts w:hint="eastAsia"/>
                <w:bCs/>
                <w:szCs w:val="21"/>
                <w:lang w:eastAsia="zh-CN"/>
              </w:rPr>
              <w:t>销售</w:t>
            </w:r>
            <w:r>
              <w:rPr>
                <w:rFonts w:hint="eastAsia"/>
                <w:bCs/>
                <w:szCs w:val="21"/>
              </w:rPr>
              <w:t>服务过程为特殊过程，公司制定了“特殊过程评审、确认准则”，能对重要过程实施控制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rPr>
                <w:b/>
                <w:color w:val="000000" w:themeColor="text1"/>
                <w:sz w:val="20"/>
                <w:szCs w:val="20"/>
              </w:rPr>
            </w:pPr>
            <w:r>
              <w:rPr>
                <w:rFonts w:hint="eastAsia"/>
                <w:bCs/>
                <w:szCs w:val="21"/>
              </w:rPr>
              <w:t>按照顾客和合同要求进行服务，能够稳定的向顾客提供合格的</w:t>
            </w:r>
            <w:r>
              <w:rPr>
                <w:rFonts w:hint="eastAsia"/>
                <w:bCs/>
                <w:szCs w:val="21"/>
                <w:lang w:eastAsia="zh-CN"/>
              </w:rPr>
              <w:t>销售</w:t>
            </w:r>
            <w:r>
              <w:rPr>
                <w:rFonts w:hint="eastAsia"/>
                <w:bCs/>
                <w:szCs w:val="2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rPr>
                <w:b/>
                <w:color w:val="000000" w:themeColor="text1"/>
                <w:sz w:val="20"/>
                <w:szCs w:val="20"/>
              </w:rPr>
            </w:pPr>
            <w:r>
              <w:rPr>
                <w:rFonts w:hint="eastAsia"/>
                <w:b/>
                <w:color w:val="000000" w:themeColor="text1"/>
                <w:sz w:val="20"/>
                <w:szCs w:val="20"/>
              </w:rPr>
              <w:t>无</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pPr>
            <w:r>
              <w:rPr>
                <w:rFonts w:hint="eastAsia"/>
              </w:rPr>
              <w:t>6. 不合格品/项的识别、控制;</w:t>
            </w:r>
          </w:p>
          <w:p>
            <w:pPr>
              <w:spacing w:line="240" w:lineRule="exact"/>
            </w:pPr>
          </w:p>
          <w:p>
            <w:pPr>
              <w:pStyle w:val="2"/>
              <w:rPr>
                <w:b/>
                <w:color w:val="000000" w:themeColor="text1"/>
                <w:sz w:val="20"/>
                <w:szCs w:val="20"/>
              </w:rPr>
            </w:pPr>
            <w:r>
              <w:rPr>
                <w:rFonts w:hint="eastAsia"/>
                <w:szCs w:val="21"/>
              </w:rPr>
              <w:t>能对发现的不合格及时进行纠正和控制。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widowControl/>
              <w:spacing w:line="460" w:lineRule="exact"/>
              <w:jc w:val="left"/>
              <w:rPr>
                <w:b/>
                <w:color w:val="000000" w:themeColor="text1"/>
                <w:sz w:val="20"/>
                <w:szCs w:val="20"/>
              </w:rPr>
            </w:pPr>
            <w:r>
              <w:rPr>
                <w:rFonts w:hint="eastAsia"/>
                <w:bCs/>
                <w:szCs w:val="21"/>
              </w:rPr>
              <w:t>对重要环境因素（</w:t>
            </w:r>
            <w:r>
              <w:rPr>
                <w:rFonts w:hint="eastAsia"/>
                <w:szCs w:val="21"/>
              </w:rPr>
              <w:t>固废排放、火灾</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对不可接受风险</w:t>
            </w:r>
            <w:r>
              <w:rPr>
                <w:rFonts w:hint="eastAsia"/>
                <w:szCs w:val="21"/>
              </w:rPr>
              <w:t>火灾、触电、意外伤害</w:t>
            </w:r>
            <w:r>
              <w:rPr>
                <w:rFonts w:hint="eastAsia"/>
                <w:szCs w:val="21"/>
                <w:lang w:eastAsia="zh-CN"/>
              </w:rPr>
              <w:t>、</w:t>
            </w:r>
            <w:r>
              <w:rPr>
                <w:rFonts w:hint="eastAsia"/>
                <w:color w:val="auto"/>
                <w:lang w:val="en-US" w:eastAsia="zh-CN"/>
              </w:rPr>
              <w:t>疫情等</w:t>
            </w:r>
            <w:r>
              <w:rPr>
                <w:rFonts w:hint="eastAsia"/>
                <w:bCs/>
                <w:color w:val="auto"/>
                <w:szCs w:val="21"/>
              </w:rPr>
              <w:t>进行了</w:t>
            </w:r>
            <w:r>
              <w:rPr>
                <w:rFonts w:hint="eastAsia"/>
                <w:bCs/>
                <w:szCs w:val="21"/>
              </w:rPr>
              <w:t>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sz w:val="20"/>
                <w:szCs w:val="20"/>
              </w:rPr>
            </w:pPr>
            <w:r>
              <w:rPr>
                <w:rFonts w:hint="eastAsia"/>
                <w:b/>
                <w:bCs/>
              </w:rPr>
              <w:t>11 .对危险化学品销售、使用、储存、运输处置，规定的执行力度(必要时); （适用时）</w:t>
            </w:r>
          </w:p>
          <w:p>
            <w:pPr>
              <w:pStyle w:val="2"/>
              <w:rPr>
                <w:b/>
                <w:color w:val="000000" w:themeColor="text1"/>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Cs/>
                <w:szCs w:val="21"/>
              </w:rPr>
            </w:pPr>
            <w:r>
              <w:rPr>
                <w:rFonts w:hint="eastAsia"/>
                <w:bCs/>
                <w:szCs w:val="21"/>
              </w:rPr>
              <w:t>对质量/环境/安全目标指标进行了考核，各部门基本可以完成质量/环境/安全目标要求。目标具备可测量性</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leftChars="0" w:hanging="105" w:hangingChars="50"/>
              <w:rPr>
                <w:b/>
                <w:color w:val="000000" w:themeColor="text1"/>
                <w:sz w:val="20"/>
                <w:szCs w:val="20"/>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z w:val="20"/>
                <w:szCs w:val="20"/>
              </w:rPr>
              <w:t>3. 一阶段提出问题的整改情况?</w:t>
            </w:r>
          </w:p>
          <w:p>
            <w:pPr>
              <w:spacing w:line="240" w:lineRule="exact"/>
              <w:ind w:firstLine="322" w:firstLineChars="200"/>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未提出问题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40" w:lineRule="exact"/>
              <w:ind w:firstLine="420" w:firstLineChars="200"/>
              <w:rPr>
                <w:b/>
                <w:color w:val="000000" w:themeColor="text1"/>
                <w:sz w:val="28"/>
                <w:szCs w:val="28"/>
              </w:rPr>
            </w:pPr>
            <w:r>
              <w:rPr>
                <w:rFonts w:hint="eastAsia"/>
                <w:lang w:eastAsia="zh-CN"/>
              </w:rPr>
              <w:t>该企业已经</w:t>
            </w:r>
            <w:r>
              <w:rPr>
                <w:rFonts w:hint="eastAsia"/>
              </w:rPr>
              <w:t>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A3"/>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default" w:eastAsia="宋体"/>
          <w:b/>
          <w:color w:val="000000" w:themeColor="text1"/>
          <w:sz w:val="26"/>
          <w:szCs w:val="26"/>
          <w:lang w:val="en-US" w:eastAsia="zh-CN"/>
        </w:rPr>
      </w:pPr>
      <w:r>
        <w:rPr>
          <w:rFonts w:hint="eastAsia"/>
          <w:b/>
          <w:color w:val="000000" w:themeColor="text1"/>
          <w:sz w:val="26"/>
          <w:szCs w:val="26"/>
        </w:rPr>
        <w:t>十三、 任何影响审核方案的重要事</w:t>
      </w:r>
      <w:bookmarkStart w:id="21" w:name="_GoBack"/>
      <w:bookmarkEnd w:id="21"/>
      <w:r>
        <w:rPr>
          <w:rFonts w:hint="eastAsia"/>
          <w:b/>
          <w:color w:val="000000" w:themeColor="text1"/>
          <w:sz w:val="26"/>
          <w:szCs w:val="26"/>
        </w:rPr>
        <w:t>项：</w:t>
      </w:r>
      <w:r>
        <w:rPr>
          <w:rFonts w:hint="eastAsia"/>
          <w:b w:val="0"/>
          <w:bCs/>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pacing w:line="400" w:lineRule="exact"/>
        <w:ind w:firstLine="1044" w:firstLineChars="400"/>
        <w:rPr>
          <w:rFonts w:hint="eastAsia" w:ascii="Times New Roman" w:hAnsi="Times New Roman" w:eastAsia="宋体" w:cs="Times New Roman"/>
          <w:b/>
          <w:color w:val="000000" w:themeColor="text1"/>
          <w:sz w:val="26"/>
          <w:szCs w:val="26"/>
          <w:lang w:val="en-US" w:eastAsia="zh-CN"/>
        </w:rPr>
      </w:pPr>
      <w:r>
        <w:rPr>
          <w:rFonts w:hint="eastAsia" w:ascii="Times New Roman" w:hAnsi="Times New Roman" w:eastAsia="宋体" w:cs="Times New Roman"/>
          <w:b/>
          <w:color w:val="000000" w:themeColor="text1"/>
          <w:sz w:val="26"/>
          <w:szCs w:val="26"/>
        </w:rPr>
        <w:t>审核组组长(签名):</w:t>
      </w:r>
      <w:r>
        <w:rPr>
          <w:rFonts w:hint="eastAsia" w:cs="Times New Roman"/>
          <w:b/>
          <w:color w:val="000000" w:themeColor="text1"/>
          <w:sz w:val="26"/>
          <w:szCs w:val="26"/>
          <w:lang w:val="en-US" w:eastAsia="zh-CN"/>
        </w:rPr>
        <w:t>周涛</w:t>
      </w:r>
    </w:p>
    <w:p>
      <w:pPr>
        <w:spacing w:line="400" w:lineRule="exact"/>
        <w:ind w:firstLine="843" w:firstLineChars="400"/>
        <w:rPr>
          <w:rFonts w:ascii="宋体"/>
          <w:b/>
          <w:bCs/>
          <w:color w:val="000000"/>
          <w:sz w:val="26"/>
          <w:szCs w:val="26"/>
        </w:rPr>
      </w:pPr>
      <w:r>
        <w:rPr>
          <w:rFonts w:ascii="宋体" w:hAnsi="宋体"/>
          <w:b/>
          <w:color w:val="000000"/>
        </w:rPr>
        <w:t xml:space="preserve">    </w:t>
      </w:r>
    </w:p>
    <w:p>
      <w:pPr>
        <w:spacing w:line="480" w:lineRule="auto"/>
        <w:ind w:firstLine="1044" w:firstLineChars="400"/>
        <w:rPr>
          <w:rFonts w:ascii="宋体"/>
          <w:b/>
          <w:color w:val="000000"/>
        </w:rPr>
      </w:pPr>
      <w:r>
        <w:rPr>
          <w:rFonts w:hint="eastAsia" w:ascii="Times New Roman" w:hAnsi="Times New Roman" w:eastAsia="宋体" w:cs="Times New Roman"/>
          <w:b/>
          <w:color w:val="000000" w:themeColor="text1"/>
          <w:sz w:val="26"/>
          <w:szCs w:val="26"/>
        </w:rPr>
        <w:t xml:space="preserve">审核组组员(签名): </w:t>
      </w:r>
      <w:r>
        <w:rPr>
          <w:rFonts w:ascii="宋体" w:hAnsi="宋体"/>
          <w:b/>
          <w:color w:val="000000"/>
        </w:rPr>
        <w:t xml:space="preserve">  </w:t>
      </w:r>
      <w:r>
        <w:rPr>
          <w:rFonts w:hint="eastAsia" w:ascii="宋体" w:hAnsi="宋体"/>
          <w:b/>
          <w:color w:val="000000"/>
          <w:lang w:val="en-US" w:eastAsia="zh-CN"/>
        </w:rPr>
        <w:t>李雅静</w:t>
      </w:r>
      <w:r>
        <w:rPr>
          <w:rFonts w:hint="eastAsia" w:ascii="宋体" w:hAnsi="宋体"/>
          <w:szCs w:val="21"/>
        </w:rPr>
        <w:t xml:space="preserve">    </w:t>
      </w:r>
      <w:r>
        <w:rPr>
          <w:rFonts w:hint="eastAsia"/>
          <w:lang w:val="en-US" w:eastAsia="zh-CN"/>
        </w:rPr>
        <w:t xml:space="preserve">      </w:t>
      </w:r>
      <w:r>
        <w:rPr>
          <w:rFonts w:hint="eastAsia" w:ascii="宋体" w:hAnsi="宋体"/>
          <w:szCs w:val="21"/>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Theme="minorEastAsia" w:hAnsiTheme="minorEastAsia" w:eastAsiaTheme="minorEastAsia" w:cstheme="minorEastAsia"/>
          <w:color w:val="auto"/>
          <w:sz w:val="21"/>
          <w:szCs w:val="21"/>
          <w:highlight w:val="none"/>
        </w:rPr>
        <w:t>202</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日</w:t>
      </w:r>
      <w:r>
        <w:rPr>
          <w:rFonts w:ascii="宋体" w:hAnsi="宋体"/>
          <w:b/>
          <w:color w:val="000000"/>
        </w:rPr>
        <w:t xml:space="preserve"> </w:t>
      </w:r>
    </w:p>
    <w:p>
      <w:pPr>
        <w:snapToGrid w:val="0"/>
        <w:spacing w:line="360" w:lineRule="auto"/>
        <w:ind w:firstLine="2347" w:firstLineChars="1461"/>
        <w:rPr>
          <w:b/>
          <w:color w:val="000000" w:themeColor="text1"/>
          <w:sz w:val="16"/>
          <w:szCs w:val="16"/>
        </w:rPr>
      </w:pP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 xml:space="preserve">  </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 xml:space="preserve">  </w:t>
      </w:r>
      <w:r>
        <w:rPr>
          <w:rFonts w:hint="eastAsia"/>
          <w:b/>
          <w:color w:val="000000" w:themeColor="text1"/>
          <w:szCs w:val="21"/>
        </w:rPr>
        <w:t>)个一般不符合，(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 xml:space="preserve">  </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default" w:eastAsia="宋体"/>
          <w:b/>
          <w:color w:val="000000" w:themeColor="text1"/>
          <w:szCs w:val="21"/>
          <w:lang w:val="en-US" w:eastAsia="zh-CN"/>
        </w:rPr>
      </w:pPr>
      <w:r>
        <w:rPr>
          <w:rFonts w:hint="eastAsia"/>
          <w:b/>
          <w:color w:val="000000" w:themeColor="text1"/>
          <w:szCs w:val="21"/>
        </w:rPr>
        <w:t>组长签字:</w:t>
      </w:r>
      <w:r>
        <w:rPr>
          <w:rFonts w:hint="eastAsia"/>
          <w:b/>
          <w:color w:val="000000" w:themeColor="text1"/>
          <w:szCs w:val="21"/>
          <w:lang w:val="en-US" w:eastAsia="zh-CN"/>
        </w:rPr>
        <w:t xml:space="preserve">  周涛</w:t>
      </w:r>
      <w:r>
        <w:rPr>
          <w:rFonts w:hint="eastAsia"/>
          <w:b/>
          <w:color w:val="000000" w:themeColor="text1"/>
          <w:szCs w:val="21"/>
        </w:rPr>
        <w:t xml:space="preserve">                               日期:  </w:t>
      </w:r>
      <w:r>
        <w:rPr>
          <w:rFonts w:hint="eastAsia"/>
          <w:b/>
          <w:color w:val="000000" w:themeColor="text1"/>
          <w:szCs w:val="21"/>
          <w:lang w:val="en-US" w:eastAsia="zh-CN"/>
        </w:rPr>
        <w:t>2021年4月11日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Wingdings 2">
    <w:altName w:val="Wingdings"/>
    <w:panose1 w:val="05020102010507070707"/>
    <w:charset w:val="00"/>
    <w:family w:val="auto"/>
    <w:pitch w:val="default"/>
    <w:sig w:usb0="00000000" w:usb1="00000000" w:usb2="00000000" w:usb3="00000000" w:csb0="80000000" w:csb1="00000000"/>
  </w:font>
  <w:font w:name="Lucida Sans">
    <w:altName w:val="Lucida Sans Unicode"/>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50" o:spid="_x0000_s2050"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0"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9C2BB"/>
    <w:multiLevelType w:val="singleLevel"/>
    <w:tmpl w:val="AFF9C2BB"/>
    <w:lvl w:ilvl="0" w:tentative="0">
      <w:start w:val="3"/>
      <w:numFmt w:val="decimal"/>
      <w:lvlText w:val="%1."/>
      <w:lvlJc w:val="left"/>
      <w:pPr>
        <w:tabs>
          <w:tab w:val="left" w:pos="312"/>
        </w:tabs>
      </w:pPr>
    </w:lvl>
  </w:abstractNum>
  <w:abstractNum w:abstractNumId="1">
    <w:nsid w:val="425F0316"/>
    <w:multiLevelType w:val="singleLevel"/>
    <w:tmpl w:val="425F0316"/>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184039"/>
    <w:rsid w:val="0C6110BB"/>
    <w:rsid w:val="0FBE5057"/>
    <w:rsid w:val="107F3D65"/>
    <w:rsid w:val="10AE3D06"/>
    <w:rsid w:val="10F628E1"/>
    <w:rsid w:val="15CA69DB"/>
    <w:rsid w:val="17070A0C"/>
    <w:rsid w:val="1A0A1ACF"/>
    <w:rsid w:val="1BC4721A"/>
    <w:rsid w:val="1CEA0A87"/>
    <w:rsid w:val="214C4B3C"/>
    <w:rsid w:val="225C5B94"/>
    <w:rsid w:val="2597386C"/>
    <w:rsid w:val="27590DF9"/>
    <w:rsid w:val="28D81F0C"/>
    <w:rsid w:val="311B62D0"/>
    <w:rsid w:val="35123975"/>
    <w:rsid w:val="36C25557"/>
    <w:rsid w:val="3CB71CB4"/>
    <w:rsid w:val="3DCB33C6"/>
    <w:rsid w:val="3E996029"/>
    <w:rsid w:val="40E03347"/>
    <w:rsid w:val="40EF5BDF"/>
    <w:rsid w:val="41457B1B"/>
    <w:rsid w:val="50C75D10"/>
    <w:rsid w:val="511C341B"/>
    <w:rsid w:val="51682271"/>
    <w:rsid w:val="56D513DC"/>
    <w:rsid w:val="5B4F3FCE"/>
    <w:rsid w:val="5F1E208D"/>
    <w:rsid w:val="5F8F5911"/>
    <w:rsid w:val="64284F08"/>
    <w:rsid w:val="64BA43B0"/>
    <w:rsid w:val="68943F82"/>
    <w:rsid w:val="689A1046"/>
    <w:rsid w:val="6E046A04"/>
    <w:rsid w:val="6F864DF9"/>
    <w:rsid w:val="72FB1F59"/>
    <w:rsid w:val="737D13B3"/>
    <w:rsid w:val="78D15054"/>
    <w:rsid w:val="7CE61E65"/>
    <w:rsid w:val="7EA75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next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列出段落1"/>
    <w:basedOn w:val="1"/>
    <w:qFormat/>
    <w:uiPriority w:val="34"/>
    <w:pPr>
      <w:ind w:firstLine="420" w:firstLineChars="200"/>
    </w:pPr>
  </w:style>
  <w:style w:type="character" w:customStyle="1" w:styleId="18">
    <w:name w:val="info-content-text"/>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textRotate="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2021-04-18T08:24:15Z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13E12CFE4BCE4ACF8E5E20A510986E9B</vt:lpwstr>
  </property>
</Properties>
</file>