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bookmarkStart w:id="0" w:name="合同编号"/>
      <w:r>
        <w:rPr>
          <w:rFonts w:hint="eastAsia" w:ascii="宋体" w:hAnsi="宋体"/>
          <w:b/>
          <w:bCs/>
          <w:kern w:val="0"/>
          <w:szCs w:val="21"/>
          <w:u w:val="single"/>
          <w:lang w:val="en-US" w:eastAsia="zh-CN"/>
        </w:rPr>
        <w:t>编号：</w:t>
      </w:r>
      <w:r>
        <w:rPr>
          <w:rFonts w:hint="eastAsia" w:ascii="宋体" w:hAnsi="宋体"/>
          <w:b/>
          <w:bCs/>
          <w:kern w:val="0"/>
          <w:szCs w:val="21"/>
          <w:u w:val="single"/>
        </w:rPr>
        <w:t>0071-2019-EO</w:t>
      </w:r>
      <w:bookmarkEnd w:id="0"/>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四川得丰电气有限公司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E:19.09.01,19.09.02</w:t>
            </w:r>
          </w:p>
          <w:p>
            <w:pPr>
              <w:jc w:val="center"/>
              <w:rPr>
                <w:b/>
                <w:sz w:val="21"/>
                <w:szCs w:val="21"/>
              </w:rPr>
            </w:pPr>
            <w:r>
              <w:rPr>
                <w:b/>
                <w:sz w:val="21"/>
                <w:szCs w:val="21"/>
              </w:rPr>
              <w:t>O:19.09.01,19.09.02</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补充</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rPr>
                <w:rFonts w:ascii="宋体" w:hAnsi="Times New Roman" w:cs="Times New Roman"/>
                <w:b/>
                <w:sz w:val="21"/>
              </w:rPr>
            </w:pPr>
            <w:bookmarkStart w:id="11" w:name="组织名称Add"/>
            <w:r>
              <w:rPr>
                <w:rFonts w:ascii="宋体" w:hAnsi="Times New Roman" w:cs="Times New Roman"/>
                <w:b/>
                <w:sz w:val="21"/>
              </w:rPr>
              <w:t>四川得丰电气有限公司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武胜县街子工业园</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638404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武胜县街子工业园</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638404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武胜县街子工业园</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638404</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杨大万</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13208223362</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谢余粮</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default" w:ascii="宋体" w:hAnsi="宋体" w:eastAsia="宋体"/>
                <w:b/>
                <w:sz w:val="21"/>
                <w:szCs w:val="21"/>
                <w:lang w:val="en-US" w:eastAsia="zh-CN"/>
              </w:rPr>
            </w:pPr>
            <w:r>
              <w:rPr>
                <w:rFonts w:hint="eastAsia" w:ascii="宋体" w:hAnsi="宋体"/>
                <w:b/>
                <w:sz w:val="21"/>
                <w:szCs w:val="21"/>
                <w:lang w:val="en-US" w:eastAsia="zh-CN"/>
              </w:rPr>
              <w:t>谢兴敏</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谢静</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2021年04月10日 下午至2021年04月10日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0" w:lineRule="atLeast"/>
              <w:jc w:val="left"/>
              <w:rPr>
                <w:rFonts w:hint="eastAsia" w:ascii="宋体" w:hAnsi="宋体" w:eastAsia="宋体"/>
                <w:b/>
                <w:bCs/>
                <w:sz w:val="21"/>
                <w:szCs w:val="21"/>
                <w:lang w:eastAsia="zh-CN"/>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rFonts w:hint="eastAsia" w:ascii="宋体" w:hAnsi="宋体"/>
                <w:b/>
                <w:bCs/>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环境管理活动</w:t>
            </w:r>
            <w:r>
              <w:rPr>
                <w:rFonts w:hint="eastAsia" w:ascii="宋体" w:hAnsi="宋体"/>
                <w:b/>
                <w:bCs/>
                <w:sz w:val="21"/>
                <w:szCs w:val="21"/>
                <w:lang w:eastAsia="zh-CN"/>
              </w:rPr>
              <w:t>。</w:t>
            </w:r>
          </w:p>
          <w:p>
            <w:pPr>
              <w:spacing w:line="360" w:lineRule="exact"/>
              <w:rPr>
                <w:rFonts w:ascii="宋体" w:hAnsi="宋体"/>
                <w:b/>
                <w:sz w:val="21"/>
                <w:szCs w:val="21"/>
              </w:rPr>
            </w:pPr>
            <w:bookmarkStart w:id="27" w:name="S勾选Add2"/>
            <w:r>
              <w:rPr>
                <w:rFonts w:hint="eastAsia" w:ascii="宋体" w:hAnsi="宋体"/>
                <w:b/>
                <w:bCs/>
                <w:sz w:val="21"/>
                <w:szCs w:val="21"/>
              </w:rPr>
              <w:t>■</w:t>
            </w:r>
            <w:bookmarkEnd w:id="27"/>
            <w:r>
              <w:rPr>
                <w:rFonts w:ascii="宋体" w:hAnsi="宋体"/>
                <w:b/>
                <w:bCs/>
                <w:sz w:val="21"/>
                <w:szCs w:val="21"/>
              </w:rPr>
              <w:t>OHSMS</w:t>
            </w:r>
            <w:r>
              <w:rPr>
                <w:rFonts w:hint="eastAsia" w:ascii="宋体" w:hAnsi="宋体"/>
                <w:b/>
                <w:bCs/>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职业健康安全管理活动</w:t>
            </w:r>
            <w:r>
              <w:rPr>
                <w:rFonts w:hint="eastAsia" w:ascii="宋体" w:hAnsi="宋体"/>
              </w:rPr>
              <w:t xml:space="preserve"> </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E：19.09.01;19.09.02</w:t>
            </w:r>
          </w:p>
          <w:p>
            <w:pPr>
              <w:spacing w:line="260" w:lineRule="exact"/>
              <w:rPr>
                <w:rFonts w:ascii="宋体" w:hAnsi="宋体"/>
                <w:b/>
                <w:sz w:val="21"/>
                <w:szCs w:val="21"/>
              </w:rPr>
            </w:pPr>
            <w:r>
              <w:rPr>
                <w:rFonts w:ascii="宋体" w:hAnsi="宋体"/>
                <w:b/>
                <w:sz w:val="21"/>
                <w:szCs w:val="21"/>
              </w:rPr>
              <w:t>O：19.09.01;19.09.02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top"/>
          </w:tcPr>
          <w:p>
            <w:pPr>
              <w:spacing w:line="260" w:lineRule="exact"/>
              <w:rPr>
                <w:rFonts w:ascii="宋体" w:hAnsi="宋体"/>
                <w:b/>
                <w:sz w:val="21"/>
                <w:szCs w:val="21"/>
              </w:rPr>
            </w:pPr>
            <w:r>
              <w:rPr>
                <w:rFonts w:hint="eastAsia" w:ascii="宋体" w:hAnsi="宋体"/>
                <w:b/>
                <w:sz w:val="21"/>
                <w:szCs w:val="21"/>
                <w:highlight w:val="none"/>
                <w:lang w:val="en-US" w:eastAsia="zh-CN"/>
              </w:rPr>
              <w:t>2022.4.10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top"/>
          </w:tcPr>
          <w:p>
            <w:pPr>
              <w:spacing w:line="260" w:lineRule="exact"/>
              <w:rPr>
                <w:rFonts w:ascii="宋体"/>
                <w:b/>
                <w:sz w:val="21"/>
              </w:rPr>
            </w:pPr>
            <w:r>
              <w:rPr>
                <w:rFonts w:hint="eastAsia" w:ascii="宋体"/>
                <w:b/>
                <w:sz w:val="21"/>
                <w:lang w:val="en-US" w:eastAsia="zh-CN"/>
              </w:rPr>
              <w:t>2020.4.16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rFonts w:hint="eastAsia" w:ascii="宋体" w:hAnsi="宋体" w:cs="Times New Roman"/>
                <w:sz w:val="21"/>
                <w:szCs w:val="21"/>
              </w:rPr>
              <w:t>四川得丰电气有限公司是由重庆龙明电器有限公司投资新建，于2011年11月建厂。</w:t>
            </w:r>
            <w:r>
              <w:rPr>
                <w:rFonts w:hint="eastAsia" w:ascii="宋体" w:hAnsi="宋体" w:cs="Times New Roman"/>
                <w:sz w:val="21"/>
                <w:szCs w:val="21"/>
                <w:lang w:eastAsia="zh-CN"/>
              </w:rPr>
              <w:t>现从事</w:t>
            </w:r>
            <w:r>
              <w:rPr>
                <w:rFonts w:hint="eastAsia" w:ascii="宋体" w:hAnsi="宋体" w:cs="Times New Roman"/>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现有员工数</w:t>
            </w:r>
            <w:r>
              <w:rPr>
                <w:rFonts w:hint="eastAsia" w:ascii="宋体" w:hAnsi="宋体" w:cs="Times New Roman"/>
                <w:sz w:val="21"/>
                <w:szCs w:val="21"/>
                <w:lang w:val="en-US" w:eastAsia="zh-CN"/>
              </w:rPr>
              <w:t>43</w:t>
            </w:r>
            <w:r>
              <w:rPr>
                <w:rFonts w:hint="eastAsia" w:ascii="宋体" w:hAnsi="宋体" w:cs="Times New Roman"/>
                <w:sz w:val="21"/>
                <w:szCs w:val="21"/>
              </w:rPr>
              <w:t>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500" w:lineRule="exact"/>
              <w:rPr>
                <w:rFonts w:hint="eastAsia"/>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职业健康安全方针（组织方针的适宜性/持续适宜性、方针的传达及职工的理解等）组织的</w:t>
            </w:r>
            <w:r>
              <w:rPr>
                <w:rFonts w:hint="eastAsia"/>
                <w:sz w:val="21"/>
                <w:szCs w:val="21"/>
              </w:rPr>
              <w:t xml:space="preserve">环境、安全方针是：“以人为本 关爱生命 保护环境 珍惜资源 和谐发展 </w:t>
            </w:r>
            <w:r>
              <w:rPr>
                <w:sz w:val="21"/>
                <w:szCs w:val="21"/>
              </w:rPr>
              <w:t>”</w:t>
            </w:r>
            <w:r>
              <w:rPr>
                <w:rFonts w:hint="eastAsia"/>
                <w:sz w:val="21"/>
                <w:szCs w:val="21"/>
              </w:rPr>
              <w:t>。</w:t>
            </w:r>
          </w:p>
          <w:p>
            <w:pPr>
              <w:spacing w:line="360" w:lineRule="auto"/>
              <w:ind w:firstLine="210" w:firstLineChars="100"/>
              <w:rPr>
                <w:rFonts w:hint="eastAsia" w:ascii="宋体" w:hAnsi="宋体" w:eastAsia="宋体"/>
                <w:b/>
                <w:sz w:val="21"/>
                <w:szCs w:val="21"/>
                <w:lang w:eastAsia="zh-CN"/>
              </w:rPr>
            </w:pPr>
            <w:r>
              <w:rPr>
                <w:rFonts w:hint="eastAsia" w:ascii="宋体" w:hAnsi="宋体" w:cs="宋体"/>
                <w:color w:val="000000"/>
                <w:sz w:val="21"/>
                <w:szCs w:val="21"/>
              </w:rPr>
              <w:t>最高管理者组织制定了方针：现行的</w:t>
            </w:r>
            <w:r>
              <w:rPr>
                <w:rFonts w:hint="eastAsia"/>
                <w:sz w:val="21"/>
                <w:szCs w:val="21"/>
              </w:rPr>
              <w:t>环境、安全</w:t>
            </w:r>
            <w:r>
              <w:rPr>
                <w:rFonts w:hint="eastAsia" w:ascii="宋体" w:hAnsi="宋体" w:cs="宋体"/>
                <w:color w:val="000000"/>
                <w:sz w:val="21"/>
                <w:szCs w:val="21"/>
              </w:rPr>
              <w:t>方针在</w:t>
            </w:r>
            <w:r>
              <w:rPr>
                <w:rFonts w:hint="eastAsia" w:ascii="宋体" w:hAnsi="宋体" w:cs="宋体"/>
                <w:color w:val="000000"/>
                <w:sz w:val="21"/>
                <w:szCs w:val="21"/>
                <w:lang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b/>
                <w:sz w:val="21"/>
                <w:szCs w:val="21"/>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eastAsia="zh-CN"/>
              </w:rPr>
              <w:t>采购、</w:t>
            </w:r>
            <w:r>
              <w:rPr>
                <w:rFonts w:hint="eastAsia" w:ascii="宋体" w:hAnsi="宋体" w:cs="宋体"/>
                <w:color w:val="000000" w:themeColor="text1"/>
                <w:sz w:val="21"/>
                <w:szCs w:val="21"/>
                <w:lang w:val="en-US" w:eastAsia="zh-CN"/>
              </w:rPr>
              <w:t>生产、销售</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rPr>
                <w:rFonts w:hint="default" w:eastAsia="宋体"/>
                <w:sz w:val="21"/>
                <w:szCs w:val="21"/>
                <w:lang w:val="en-US" w:eastAsia="zh-CN"/>
              </w:rPr>
            </w:pPr>
            <w:r>
              <w:rPr>
                <w:rFonts w:hint="eastAsia"/>
                <w:sz w:val="21"/>
                <w:szCs w:val="21"/>
              </w:rPr>
              <w:t>环境、职业健康安全目标：</w:t>
            </w:r>
            <w:r>
              <w:rPr>
                <w:rFonts w:hint="eastAsia"/>
                <w:sz w:val="21"/>
                <w:szCs w:val="21"/>
                <w:lang w:val="en-US" w:eastAsia="zh-CN"/>
              </w:rPr>
              <w:t xml:space="preserve">           </w:t>
            </w:r>
            <w:r>
              <w:rPr>
                <w:rFonts w:hint="eastAsia"/>
                <w:sz w:val="21"/>
                <w:szCs w:val="21"/>
                <w:lang w:eastAsia="zh-CN"/>
              </w:rPr>
              <w:t>考核情况（</w:t>
            </w:r>
            <w:r>
              <w:rPr>
                <w:rFonts w:hint="eastAsia"/>
                <w:sz w:val="21"/>
                <w:szCs w:val="21"/>
                <w:lang w:val="en-US" w:eastAsia="zh-CN"/>
              </w:rPr>
              <w:t>2020年5月-2021年3月）</w:t>
            </w:r>
          </w:p>
          <w:p>
            <w:pPr>
              <w:rPr>
                <w:rFonts w:hint="default" w:eastAsia="宋体"/>
                <w:sz w:val="21"/>
                <w:szCs w:val="21"/>
                <w:lang w:val="en-US" w:eastAsia="zh-CN"/>
              </w:rPr>
            </w:pPr>
            <w:r>
              <w:rPr>
                <w:rFonts w:hint="eastAsia"/>
                <w:sz w:val="21"/>
                <w:szCs w:val="21"/>
              </w:rPr>
              <w:t>1)固体废弃物合理处置率达到100% ；</w:t>
            </w:r>
            <w:r>
              <w:rPr>
                <w:rFonts w:hint="eastAsia"/>
                <w:sz w:val="21"/>
                <w:szCs w:val="21"/>
                <w:lang w:val="en-US" w:eastAsia="zh-CN"/>
              </w:rPr>
              <w:t xml:space="preserve">              实测：100%</w:t>
            </w:r>
          </w:p>
          <w:p>
            <w:pPr>
              <w:rPr>
                <w:rFonts w:hint="default" w:eastAsia="宋体"/>
                <w:sz w:val="21"/>
                <w:szCs w:val="21"/>
                <w:lang w:val="en-US" w:eastAsia="zh-CN"/>
              </w:rPr>
            </w:pPr>
            <w:r>
              <w:rPr>
                <w:rFonts w:hint="eastAsia"/>
                <w:sz w:val="21"/>
                <w:szCs w:val="21"/>
              </w:rPr>
              <w:t>2)死亡、重伤事故为0；</w:t>
            </w:r>
            <w:r>
              <w:rPr>
                <w:rFonts w:hint="eastAsia"/>
                <w:sz w:val="21"/>
                <w:szCs w:val="21"/>
                <w:lang w:val="en-US" w:eastAsia="zh-CN"/>
              </w:rPr>
              <w:t xml:space="preserve">                          实测：</w:t>
            </w:r>
            <w:r>
              <w:rPr>
                <w:rFonts w:hint="eastAsia"/>
                <w:sz w:val="21"/>
                <w:szCs w:val="21"/>
              </w:rPr>
              <w:t>死亡、重伤事故为零；</w:t>
            </w:r>
          </w:p>
          <w:p>
            <w:pPr>
              <w:rPr>
                <w:rFonts w:hint="default" w:eastAsia="宋体"/>
                <w:sz w:val="21"/>
                <w:szCs w:val="21"/>
                <w:lang w:val="en-US" w:eastAsia="zh-CN"/>
              </w:rPr>
            </w:pPr>
            <w:r>
              <w:rPr>
                <w:rFonts w:hint="eastAsia"/>
                <w:sz w:val="21"/>
                <w:szCs w:val="21"/>
              </w:rPr>
              <w:t>3)员工无职业病发生；</w:t>
            </w:r>
            <w:r>
              <w:rPr>
                <w:rFonts w:hint="eastAsia"/>
                <w:sz w:val="21"/>
                <w:szCs w:val="21"/>
                <w:lang w:val="en-US" w:eastAsia="zh-CN"/>
              </w:rPr>
              <w:t xml:space="preserve">                            实测：</w:t>
            </w:r>
            <w:r>
              <w:rPr>
                <w:rFonts w:hint="eastAsia"/>
                <w:sz w:val="21"/>
                <w:szCs w:val="21"/>
              </w:rPr>
              <w:t>未有职业病</w:t>
            </w:r>
            <w:r>
              <w:rPr>
                <w:rFonts w:hint="eastAsia"/>
                <w:sz w:val="21"/>
                <w:szCs w:val="21"/>
                <w:lang w:eastAsia="zh-CN"/>
              </w:rPr>
              <w:t>病例</w:t>
            </w:r>
            <w:r>
              <w:rPr>
                <w:rFonts w:hint="eastAsia"/>
                <w:sz w:val="21"/>
                <w:szCs w:val="21"/>
              </w:rPr>
              <w:t>发生；</w:t>
            </w:r>
          </w:p>
          <w:p>
            <w:pPr>
              <w:rPr>
                <w:rFonts w:hint="default" w:ascii="宋体" w:hAnsi="宋体" w:eastAsia="宋体"/>
                <w:b/>
                <w:sz w:val="21"/>
                <w:szCs w:val="21"/>
                <w:lang w:val="en-US" w:eastAsia="zh-CN"/>
              </w:rPr>
            </w:pPr>
            <w:r>
              <w:rPr>
                <w:rFonts w:hint="eastAsia"/>
                <w:sz w:val="21"/>
                <w:szCs w:val="21"/>
              </w:rPr>
              <w:t>4)全年无火灾事故。</w:t>
            </w:r>
            <w:r>
              <w:rPr>
                <w:rFonts w:hint="eastAsia"/>
                <w:sz w:val="21"/>
                <w:szCs w:val="21"/>
                <w:lang w:val="en-US" w:eastAsia="zh-CN"/>
              </w:rPr>
              <w:t xml:space="preserve">                              实测：</w:t>
            </w:r>
            <w:r>
              <w:rPr>
                <w:rFonts w:hint="eastAsia"/>
                <w:sz w:val="21"/>
                <w:szCs w:val="21"/>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月1日</w:t>
            </w:r>
            <w:r>
              <w:rPr>
                <w:rFonts w:hint="eastAsia" w:ascii="宋体" w:hAnsi="宋体" w:cs="宋体"/>
                <w:sz w:val="21"/>
                <w:szCs w:val="21"/>
                <w:highlight w:val="none"/>
                <w:lang w:eastAsia="zh-CN"/>
              </w:rPr>
              <w:t>进行了换版，由</w:t>
            </w:r>
            <w:r>
              <w:rPr>
                <w:rFonts w:hint="eastAsia" w:ascii="宋体" w:hAnsi="宋体" w:cs="宋体"/>
                <w:sz w:val="21"/>
                <w:szCs w:val="21"/>
                <w:highlight w:val="none"/>
                <w:lang w:val="en-US" w:eastAsia="zh-CN"/>
              </w:rPr>
              <w:t>A/0版本更换为A/1版，本并</w:t>
            </w:r>
            <w:r>
              <w:rPr>
                <w:rFonts w:hint="eastAsia" w:ascii="宋体" w:hAnsi="宋体" w:eastAsia="宋体" w:cs="宋体"/>
                <w:sz w:val="21"/>
                <w:szCs w:val="21"/>
                <w:highlight w:val="none"/>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设备设施（包括信息系统）、</w:t>
            </w:r>
          </w:p>
          <w:p>
            <w:pPr>
              <w:spacing w:line="400" w:lineRule="exact"/>
              <w:rPr>
                <w:rFonts w:hint="eastAsia" w:ascii="宋体" w:hAnsi="宋体"/>
                <w:b/>
                <w:sz w:val="21"/>
                <w:szCs w:val="21"/>
                <w:highlight w:val="none"/>
              </w:rPr>
            </w:pPr>
            <w:r>
              <w:rPr>
                <w:rFonts w:hint="eastAsia" w:ascii="宋体" w:hAnsi="宋体" w:cs="宋体"/>
                <w:sz w:val="21"/>
                <w:szCs w:val="21"/>
                <w:highlight w:val="none"/>
                <w:lang w:val="en-US" w:eastAsia="zh-CN"/>
              </w:rPr>
              <w:t>公司生产车间面积9600平方左右，办公</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2600</w:t>
            </w:r>
            <w:r>
              <w:rPr>
                <w:rFonts w:hint="eastAsia" w:ascii="宋体" w:hAnsi="宋体" w:cs="宋体"/>
                <w:sz w:val="21"/>
                <w:szCs w:val="21"/>
                <w:highlight w:val="none"/>
              </w:rPr>
              <w:t>平方左右</w:t>
            </w:r>
            <w:r>
              <w:rPr>
                <w:rFonts w:hint="eastAsia" w:ascii="宋体" w:hAnsi="宋体" w:cs="宋体"/>
                <w:sz w:val="21"/>
                <w:szCs w:val="21"/>
                <w:highlight w:val="none"/>
                <w:lang w:eastAsia="zh-CN"/>
              </w:rPr>
              <w:t>，库房面积</w:t>
            </w:r>
            <w:r>
              <w:rPr>
                <w:rFonts w:hint="eastAsia" w:ascii="宋体" w:hAnsi="宋体" w:cs="宋体"/>
                <w:sz w:val="21"/>
                <w:szCs w:val="21"/>
                <w:highlight w:val="none"/>
                <w:lang w:val="en-US" w:eastAsia="zh-CN"/>
              </w:rPr>
              <w:t>300</w:t>
            </w:r>
            <w:r>
              <w:rPr>
                <w:rFonts w:hint="eastAsia" w:ascii="宋体" w:hAnsi="宋体" w:cs="宋体"/>
                <w:sz w:val="21"/>
                <w:szCs w:val="21"/>
                <w:highlight w:val="none"/>
              </w:rPr>
              <w:t>平方左右。主要生产设备包括：剪板机、数控冲床、折弯机、激光切割机、焊机、喷涂房等设备，可以满足10KV及以下电力变压器、低压成套开关设备、中置柜、环网柜、电缆分支箱、箱式变电站、智能化户外开闭所、全绝缘充气柜的设计生产；一体式交（直）流充电机的生产需要。</w:t>
            </w:r>
            <w:r>
              <w:rPr>
                <w:rFonts w:hint="eastAsia" w:ascii="宋体" w:hAnsi="宋体" w:cs="宋体"/>
                <w:sz w:val="21"/>
                <w:szCs w:val="21"/>
                <w:highlight w:val="none"/>
                <w:lang w:val="en-US" w:eastAsia="zh-CN"/>
              </w:rPr>
              <w:t>行政部</w:t>
            </w:r>
            <w:r>
              <w:rPr>
                <w:rFonts w:hint="eastAsia" w:ascii="宋体" w:hAnsi="宋体" w:cs="宋体"/>
                <w:sz w:val="21"/>
                <w:szCs w:val="21"/>
                <w:highlight w:val="none"/>
              </w:rPr>
              <w:t>对</w:t>
            </w:r>
            <w:r>
              <w:rPr>
                <w:rFonts w:hint="eastAsia" w:ascii="宋体" w:hAnsi="宋体" w:cs="宋体"/>
                <w:sz w:val="21"/>
                <w:szCs w:val="21"/>
                <w:highlight w:val="none"/>
                <w:lang w:eastAsia="zh-CN"/>
              </w:rPr>
              <w:t>办公</w:t>
            </w:r>
            <w:r>
              <w:rPr>
                <w:rFonts w:hint="eastAsia" w:ascii="宋体" w:hAnsi="宋体" w:cs="宋体"/>
                <w:sz w:val="21"/>
                <w:szCs w:val="21"/>
                <w:highlight w:val="none"/>
              </w:rPr>
              <w:t>设备</w:t>
            </w:r>
            <w:r>
              <w:rPr>
                <w:rFonts w:hint="eastAsia" w:ascii="宋体" w:hAnsi="宋体" w:cs="宋体"/>
                <w:sz w:val="21"/>
                <w:szCs w:val="21"/>
                <w:highlight w:val="none"/>
                <w:lang w:eastAsia="zh-CN"/>
              </w:rPr>
              <w:t>、生产部对生产设备</w:t>
            </w:r>
            <w:r>
              <w:rPr>
                <w:rFonts w:hint="eastAsia" w:ascii="宋体" w:hAnsi="宋体" w:cs="宋体"/>
                <w:sz w:val="21"/>
                <w:szCs w:val="21"/>
                <w:highlight w:val="none"/>
              </w:rPr>
              <w:t>按月方式进行点检维护保养，并实施。特种设备：</w:t>
            </w:r>
            <w:r>
              <w:rPr>
                <w:rFonts w:hint="eastAsia"/>
                <w:sz w:val="21"/>
                <w:szCs w:val="21"/>
                <w:highlight w:val="none"/>
              </w:rPr>
              <w:t>行车4台</w:t>
            </w:r>
            <w:r>
              <w:rPr>
                <w:rFonts w:hint="eastAsia" w:ascii="宋体" w:hAnsi="宋体" w:cs="宋体"/>
                <w:sz w:val="21"/>
                <w:szCs w:val="21"/>
                <w:highlight w:val="none"/>
              </w:rPr>
              <w:t>。公司未建立信息管理系统用于生产和服务。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 w:val="21"/>
                <w:szCs w:val="21"/>
                <w:lang w:val="en-US" w:eastAsia="zh-CN"/>
              </w:rPr>
              <w:t>生产车间和办公区</w:t>
            </w:r>
            <w:r>
              <w:rPr>
                <w:rFonts w:hint="eastAsia" w:ascii="宋体" w:hAnsi="宋体"/>
                <w:sz w:val="21"/>
                <w:szCs w:val="21"/>
              </w:rPr>
              <w:t>内设备布置</w:t>
            </w:r>
            <w:r>
              <w:rPr>
                <w:rFonts w:hint="eastAsia" w:ascii="宋体" w:hAnsi="宋体" w:cs="Times New Roman"/>
                <w:sz w:val="21"/>
                <w:szCs w:val="21"/>
              </w:rPr>
              <w:t>合理，照明设施齐全，均配备了</w:t>
            </w:r>
            <w:r>
              <w:rPr>
                <w:rFonts w:hint="eastAsia" w:ascii="宋体" w:hAnsi="宋体" w:cs="Times New Roman"/>
                <w:sz w:val="21"/>
                <w:szCs w:val="21"/>
                <w:lang w:val="en-US" w:eastAsia="zh-CN"/>
              </w:rPr>
              <w:t>灭火器</w:t>
            </w:r>
            <w:r>
              <w:rPr>
                <w:rFonts w:hint="eastAsia" w:ascii="宋体" w:hAnsi="宋体" w:cs="Times New Roman"/>
                <w:sz w:val="21"/>
                <w:szCs w:val="21"/>
              </w:rPr>
              <w:t>、消防</w:t>
            </w:r>
            <w:r>
              <w:rPr>
                <w:rFonts w:hint="eastAsia" w:ascii="宋体" w:hAnsi="宋体" w:cs="Times New Roman"/>
                <w:sz w:val="21"/>
                <w:szCs w:val="21"/>
                <w:lang w:val="en-US" w:eastAsia="zh-CN"/>
              </w:rPr>
              <w:t>栓</w:t>
            </w:r>
            <w:r>
              <w:rPr>
                <w:rFonts w:hint="eastAsia" w:ascii="宋体" w:hAnsi="宋体" w:cs="Times New Roman"/>
                <w:sz w:val="21"/>
                <w:szCs w:val="21"/>
              </w:rPr>
              <w:t>等设施。</w:t>
            </w:r>
            <w:r>
              <w:rPr>
                <w:rFonts w:hint="eastAsia" w:ascii="宋体" w:hAnsi="宋体" w:cs="Times New Roman"/>
                <w:sz w:val="21"/>
                <w:szCs w:val="21"/>
                <w:lang w:val="en-US" w:eastAsia="zh-CN"/>
              </w:rPr>
              <w:t>目前公司主要从事1</w:t>
            </w:r>
            <w:r>
              <w:rPr>
                <w:rFonts w:hint="eastAsia" w:ascii="宋体" w:hAnsi="宋体" w:cs="Times New Roman"/>
                <w:sz w:val="21"/>
                <w:szCs w:val="21"/>
              </w:rPr>
              <w:t>0KV及以下电力变压器、低压成套开关设备（资质范围内）、中置柜、环网柜、电缆分支箱、箱式变电站、智能化户外开闭所、全绝缘充气柜的设计生产；一体式交（直）流充电机的生产对环境要求不高，</w:t>
            </w:r>
            <w:r>
              <w:rPr>
                <w:rFonts w:hint="eastAsia" w:ascii="宋体" w:hAnsi="宋体"/>
                <w:sz w:val="21"/>
                <w:szCs w:val="21"/>
              </w:rPr>
              <w:t>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eastAsia="宋体"/>
                <w:b/>
                <w:sz w:val="21"/>
                <w:szCs w:val="21"/>
                <w:lang w:eastAsia="zh-CN"/>
              </w:rPr>
            </w:pPr>
            <w:r>
              <w:rPr>
                <w:rFonts w:hint="eastAsia" w:ascii="宋体" w:hAnsi="宋体"/>
                <w:b/>
                <w:sz w:val="21"/>
                <w:szCs w:val="21"/>
              </w:rPr>
              <w:t>环保设施：</w:t>
            </w:r>
            <w:r>
              <w:rPr>
                <w:rFonts w:hint="eastAsia" w:ascii="宋体"/>
                <w:kern w:val="0"/>
                <w:sz w:val="21"/>
                <w:szCs w:val="21"/>
              </w:rPr>
              <w:t>配置有滤桶除尘器</w:t>
            </w:r>
            <w:r>
              <w:rPr>
                <w:rFonts w:hint="eastAsia" w:ascii="宋体"/>
                <w:kern w:val="0"/>
                <w:sz w:val="21"/>
                <w:szCs w:val="21"/>
                <w:lang w:eastAsia="zh-CN"/>
              </w:rPr>
              <w:t>、</w:t>
            </w:r>
            <w:r>
              <w:rPr>
                <w:rFonts w:hint="eastAsia" w:ascii="宋体"/>
                <w:kern w:val="0"/>
                <w:sz w:val="21"/>
                <w:szCs w:val="21"/>
              </w:rPr>
              <w:t>UV光氧净化器</w:t>
            </w:r>
            <w:r>
              <w:rPr>
                <w:rFonts w:hint="eastAsia" w:ascii="宋体" w:hAnsi="宋体"/>
                <w:sz w:val="21"/>
                <w:szCs w:val="21"/>
                <w:highlight w:val="none"/>
                <w:lang w:val="en-US" w:eastAsia="zh-CN"/>
              </w:rPr>
              <w:t>、</w:t>
            </w:r>
            <w:r>
              <w:rPr>
                <w:rFonts w:hint="eastAsia" w:ascii="宋体" w:hAnsi="宋体"/>
                <w:sz w:val="20"/>
                <w:szCs w:val="20"/>
              </w:rPr>
              <w:t>消防栓、灭火器</w:t>
            </w:r>
            <w:r>
              <w:rPr>
                <w:rFonts w:hint="eastAsia" w:ascii="宋体" w:hAnsi="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宋体" w:hAnsi="宋体"/>
                <w:b/>
                <w:sz w:val="21"/>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eastAsia="宋体"/>
                <w:b/>
                <w:sz w:val="21"/>
                <w:szCs w:val="21"/>
                <w:lang w:eastAsia="zh-CN"/>
              </w:rPr>
            </w:pPr>
            <w:r>
              <w:rPr>
                <w:rFonts w:hint="eastAsia" w:ascii="宋体" w:hAnsi="宋体" w:cs="宋体"/>
                <w:color w:val="000000"/>
                <w:sz w:val="21"/>
                <w:szCs w:val="21"/>
                <w:lang w:eastAsia="zh-CN"/>
              </w:rPr>
              <w:t>远程</w:t>
            </w:r>
            <w:r>
              <w:rPr>
                <w:rFonts w:hint="eastAsia" w:ascii="宋体" w:hAnsi="宋体" w:cs="宋体"/>
                <w:color w:val="000000"/>
                <w:sz w:val="2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1080"/>
              </w:tabs>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sz w:val="21"/>
                <w:szCs w:val="21"/>
              </w:rPr>
              <w:t>固废排放、潜在火灾、废气排放、</w:t>
            </w:r>
            <w:r>
              <w:rPr>
                <w:rFonts w:hint="eastAsia"/>
                <w:sz w:val="21"/>
                <w:szCs w:val="21"/>
                <w:lang w:eastAsia="zh-CN"/>
              </w:rPr>
              <w:t>废水排放、</w:t>
            </w:r>
            <w:r>
              <w:rPr>
                <w:rFonts w:hint="eastAsia"/>
                <w:sz w:val="21"/>
                <w:szCs w:val="21"/>
              </w:rPr>
              <w:t>噪声排放、化学品泄漏</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w:t>
            </w:r>
            <w:r>
              <w:rPr>
                <w:rFonts w:hint="eastAsia" w:asciiTheme="minorEastAsia" w:hAnsiTheme="minorEastAsia" w:eastAsiaTheme="minorEastAsia"/>
                <w:bCs/>
                <w:iCs/>
                <w:sz w:val="21"/>
                <w:szCs w:val="21"/>
                <w:lang w:eastAsia="zh-CN"/>
              </w:rPr>
              <w:t>采购、生产、检测、销售</w:t>
            </w:r>
            <w:r>
              <w:rPr>
                <w:rFonts w:hint="eastAsia" w:asciiTheme="minorEastAsia" w:hAnsiTheme="minorEastAsia" w:eastAsiaTheme="minor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Theme="minorEastAsia" w:hAnsiTheme="minorEastAsia" w:eastAsiaTheme="minorEastAsia"/>
                <w:bCs/>
                <w:iCs/>
                <w:sz w:val="21"/>
                <w:szCs w:val="21"/>
                <w:lang w:eastAsia="zh-CN"/>
              </w:rPr>
              <w:t>等</w:t>
            </w:r>
            <w:r>
              <w:rPr>
                <w:rFonts w:hint="eastAsia" w:asciiTheme="minorEastAsia" w:hAnsiTheme="minorEastAsia" w:eastAsiaTheme="minorEastAsia"/>
                <w:bCs/>
                <w:iCs/>
                <w:sz w:val="21"/>
                <w:szCs w:val="21"/>
              </w:rPr>
              <w:t>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sz w:val="21"/>
                <w:szCs w:val="21"/>
              </w:rPr>
              <w:t>潜在火灾、机械伤害、触电、职业病</w:t>
            </w:r>
            <w:r>
              <w:rPr>
                <w:rFonts w:hint="eastAsia" w:asciiTheme="minorEastAsia" w:hAnsiTheme="minorEastAsia" w:eastAsiaTheme="minorEastAsia"/>
                <w:bCs/>
                <w:iCs/>
                <w:sz w:val="21"/>
                <w:szCs w:val="21"/>
                <w:lang w:val="en-US" w:eastAsia="zh-CN"/>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b/>
                <w:sz w:val="21"/>
                <w:szCs w:val="21"/>
                <w:lang w:val="en-US"/>
              </w:rPr>
            </w:pPr>
            <w:r>
              <w:rPr>
                <w:rFonts w:hint="eastAsia" w:ascii="宋体" w:hAnsi="宋体"/>
                <w:b/>
                <w:sz w:val="21"/>
                <w:szCs w:val="21"/>
                <w:highlight w:val="none"/>
                <w:lang w:val="en-US" w:eastAsia="zh-CN"/>
              </w:rPr>
              <w:t>对行车（4台）进行了年检。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highlight w:val="none"/>
                <w:lang w:val="en-US" w:eastAsia="zh-CN"/>
              </w:rPr>
              <w:t>12月</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2020年3</w:t>
            </w:r>
            <w:r>
              <w:rPr>
                <w:rFonts w:hint="eastAsia" w:ascii="宋体" w:hAnsi="宋体" w:cs="宋体"/>
                <w:color w:val="000000"/>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 xml:space="preserve">3. </w:t>
            </w:r>
            <w:r>
              <w:rPr>
                <w:rFonts w:hint="eastAsia" w:ascii="宋体" w:hAnsi="宋体"/>
                <w:b/>
                <w:sz w:val="21"/>
                <w:szCs w:val="21"/>
                <w:highlight w:val="none"/>
              </w:rPr>
              <w:t>内审（包括内审策划审核方案中考虑拟审核的过程和区域的状况和重要性）</w:t>
            </w:r>
          </w:p>
          <w:p>
            <w:pPr>
              <w:spacing w:line="240" w:lineRule="exact"/>
              <w:ind w:firstLine="210" w:firstLineChars="100"/>
              <w:rPr>
                <w:rFonts w:ascii="宋体" w:hAnsi="宋体"/>
                <w:b/>
                <w:sz w:val="21"/>
                <w:szCs w:val="21"/>
                <w:highlight w:val="none"/>
              </w:rPr>
            </w:pPr>
            <w:r>
              <w:rPr>
                <w:rFonts w:hint="eastAsia" w:ascii="宋体" w:hAnsi="宋体" w:cs="宋体"/>
                <w:sz w:val="21"/>
                <w:szCs w:val="21"/>
                <w:highlight w:val="none"/>
              </w:rPr>
              <w:t>建立有《内部审核控制程序》，规定了内审频次一年一次，内审时间：</w:t>
            </w:r>
            <w:r>
              <w:rPr>
                <w:rFonts w:hint="eastAsia" w:ascii="宋体" w:hAnsi="宋体"/>
                <w:sz w:val="21"/>
                <w:szCs w:val="21"/>
                <w:highlight w:val="none"/>
              </w:rPr>
              <w:t>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w:t>
            </w:r>
            <w:r>
              <w:rPr>
                <w:rFonts w:hint="eastAsia" w:ascii="宋体" w:hAnsi="宋体" w:cs="宋体"/>
                <w:sz w:val="21"/>
                <w:szCs w:val="21"/>
                <w:highlight w:val="none"/>
              </w:rPr>
              <w:t>，拟定了审核实施表，明确了内审范围，内审人员经培训合格上岗，能力满足要求，未出现审核本部门情况，内审不符合项1项，</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E8.1条款</w:t>
            </w:r>
            <w:r>
              <w:rPr>
                <w:rFonts w:hint="eastAsia"/>
                <w:sz w:val="21"/>
                <w:szCs w:val="21"/>
                <w:highlight w:val="none"/>
                <w:lang w:eastAsia="zh-CN"/>
              </w:rPr>
              <w:t>，</w:t>
            </w:r>
            <w:r>
              <w:rPr>
                <w:rFonts w:hint="eastAsia" w:ascii="宋体" w:hAnsi="宋体" w:eastAsia="宋体"/>
                <w:color w:val="000000"/>
                <w:sz w:val="21"/>
                <w:szCs w:val="21"/>
              </w:rPr>
              <w:t>查固废管理，在办公区域，部分口罩未放入专用盛具中，与其他垃圾混放</w:t>
            </w:r>
            <w:r>
              <w:rPr>
                <w:rFonts w:hint="eastAsia" w:ascii="宋体" w:hAnsi="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4.</w:t>
            </w:r>
            <w:r>
              <w:rPr>
                <w:rFonts w:hint="eastAsia" w:ascii="宋体" w:hAnsi="宋体"/>
                <w:b/>
                <w:sz w:val="21"/>
                <w:szCs w:val="21"/>
                <w:highlight w:val="none"/>
              </w:rPr>
              <w:t>管理评审（管理评审体系变更需求，纠正和预防措施、体系有效性等）</w:t>
            </w:r>
          </w:p>
          <w:p>
            <w:pPr>
              <w:spacing w:line="240" w:lineRule="exact"/>
              <w:rPr>
                <w:rFonts w:ascii="宋体" w:hAnsi="宋体"/>
                <w:b/>
                <w:sz w:val="21"/>
                <w:szCs w:val="21"/>
                <w:highlight w:val="none"/>
              </w:rPr>
            </w:pPr>
            <w:r>
              <w:rPr>
                <w:rFonts w:hint="eastAsia" w:ascii="宋体" w:hAnsi="宋体" w:cs="宋体"/>
                <w:sz w:val="21"/>
                <w:szCs w:val="21"/>
                <w:highlight w:val="none"/>
              </w:rPr>
              <w:t>管理评审频次为一年一次、本次管理评审于20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4"/>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pStyle w:val="2"/>
              <w:rPr>
                <w:rFonts w:hint="eastAsia" w:ascii="方正仿宋简体" w:eastAsia="方正仿宋简体"/>
                <w:szCs w:val="21"/>
                <w:lang w:eastAsia="zh-CN"/>
              </w:rPr>
            </w:pPr>
            <w:r>
              <w:rPr>
                <w:rFonts w:hint="eastAsia" w:ascii="宋体" w:hAnsi="宋体"/>
                <w:b/>
                <w:sz w:val="21"/>
                <w:szCs w:val="21"/>
                <w:lang w:val="en-US" w:eastAsia="zh-CN"/>
              </w:rPr>
              <w:t xml:space="preserve">  </w:t>
            </w:r>
            <w:r>
              <w:rPr>
                <w:rFonts w:hint="eastAsia" w:ascii="宋体" w:hAnsi="宋体" w:eastAsia="宋体" w:cs="Times New Roman"/>
                <w:b/>
                <w:bCs w:val="0"/>
                <w:spacing w:val="0"/>
                <w:kern w:val="2"/>
                <w:sz w:val="21"/>
                <w:szCs w:val="21"/>
                <w:lang w:val="en-US" w:eastAsia="zh-CN" w:bidi="ar-SA"/>
              </w:rPr>
              <w:t>提供有2021年1月5日（废水、无组织废气、噪声）检测报告（川绿检字（2021）第0018号）。</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hint="default" w:ascii="宋体" w:hAnsi="宋体"/>
                <w:b/>
                <w:sz w:val="21"/>
                <w:szCs w:val="21"/>
                <w:lang w:val="en-US"/>
              </w:rPr>
            </w:pPr>
            <w:r>
              <w:rPr>
                <w:rFonts w:hint="eastAsia" w:ascii="宋体" w:hAnsi="宋体"/>
                <w:b/>
                <w:sz w:val="21"/>
                <w:szCs w:val="21"/>
                <w:highlight w:val="none"/>
                <w:lang w:val="en-US" w:eastAsia="zh-CN"/>
              </w:rPr>
              <w:t>提供有：1）一体式交（直）流充电机生产项目环境影响登记表，备案号：202051162200000017；2）变压器装配项目环境影响登记表，备案号：202051162200000020；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420" w:firstLineChars="200"/>
              <w:rPr>
                <w:rFonts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eastAsia="zh-CN"/>
              </w:rPr>
              <w:t>生技部</w:t>
            </w:r>
            <w:r>
              <w:rPr>
                <w:rFonts w:hint="eastAsia" w:ascii="宋体" w:hAnsi="宋体" w:cs="宋体"/>
                <w:color w:val="auto"/>
                <w:sz w:val="21"/>
                <w:szCs w:val="21"/>
                <w:highlight w:val="none"/>
                <w:lang w:val="en-US" w:eastAsia="zh-CN"/>
              </w:rPr>
              <w:t>S8.1 b条款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hint="eastAsia"/>
          <w:b/>
          <w:spacing w:val="-10"/>
          <w:szCs w:val="21"/>
          <w:lang w:eastAsia="zh-CN"/>
        </w:rPr>
      </w:pPr>
    </w:p>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次审核共开具不符合项报告</w:t>
      </w:r>
      <w:r>
        <w:rPr>
          <w:rFonts w:hint="eastAsia"/>
          <w:b/>
          <w:sz w:val="26"/>
          <w:szCs w:val="26"/>
          <w:highlight w:val="none"/>
          <w:lang w:val="en-US" w:eastAsia="zh-CN"/>
        </w:rPr>
        <w:t>0</w:t>
      </w:r>
      <w:r>
        <w:rPr>
          <w:rFonts w:hint="eastAsia"/>
          <w:b/>
          <w:sz w:val="26"/>
          <w:szCs w:val="26"/>
          <w:highlight w:val="none"/>
        </w:rPr>
        <w:t>项；其中</w:t>
      </w:r>
      <w:r>
        <w:rPr>
          <w:b/>
          <w:sz w:val="26"/>
          <w:szCs w:val="26"/>
          <w:highlight w:val="none"/>
        </w:rPr>
        <w:pict>
          <v:line id="直接连接符 1" o:spid="_x0000_s2054"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b/>
          <w:sz w:val="26"/>
          <w:szCs w:val="26"/>
          <w:highlight w:val="none"/>
        </w:rPr>
        <w:t xml:space="preserve">严重不符合 0项，一般不符合 </w:t>
      </w:r>
      <w:r>
        <w:rPr>
          <w:rFonts w:hint="eastAsia"/>
          <w:b/>
          <w:sz w:val="26"/>
          <w:szCs w:val="26"/>
          <w:highlight w:val="none"/>
          <w:lang w:val="en-US" w:eastAsia="zh-CN"/>
        </w:rPr>
        <w:t>0</w:t>
      </w:r>
      <w:r>
        <w:rPr>
          <w:rFonts w:hint="eastAsia"/>
          <w:b/>
          <w:sz w:val="26"/>
          <w:szCs w:val="26"/>
          <w:highlight w:val="none"/>
        </w:rPr>
        <w:t>项，观察项0项。不符合项分布在</w:t>
      </w:r>
      <w:r>
        <w:rPr>
          <w:rFonts w:hint="eastAsia"/>
          <w:b/>
          <w:sz w:val="26"/>
          <w:szCs w:val="26"/>
          <w:highlight w:val="none"/>
          <w:lang w:val="en-US" w:eastAsia="zh-CN"/>
        </w:rPr>
        <w:t xml:space="preserve"> </w:t>
      </w:r>
      <w:r>
        <w:rPr>
          <w:rFonts w:hint="eastAsia"/>
          <w:b/>
          <w:sz w:val="26"/>
          <w:szCs w:val="26"/>
          <w:highlight w:val="none"/>
        </w:rPr>
        <w:t>部门条款，见不符合</w:t>
      </w:r>
      <w:r>
        <w:rPr>
          <w:rFonts w:hint="eastAsia" w:ascii="宋体" w:hAnsi="宋体"/>
          <w:b/>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四川得丰电气有限公司</w:t>
            </w:r>
            <w:r>
              <w:rPr>
                <w:rFonts w:hint="eastAsia" w:ascii="微软雅黑" w:hAnsi="微软雅黑" w:eastAsia="微软雅黑"/>
                <w:bCs/>
                <w:szCs w:val="24"/>
              </w:rPr>
              <w:t>）的</w:t>
            </w:r>
            <w:r>
              <w:rPr>
                <w:rFonts w:hint="eastAsia" w:ascii="微软雅黑" w:hAnsi="微软雅黑" w:eastAsia="微软雅黑"/>
                <w:bCs/>
                <w:szCs w:val="24"/>
                <w:lang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left="331" w:leftChars="88" w:hanging="120" w:hangingChars="5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napToGrid w:val="0"/>
        <w:spacing w:line="360" w:lineRule="auto"/>
        <w:ind w:left="-211" w:leftChars="-88" w:firstLine="582" w:firstLineChars="223"/>
        <w:rPr>
          <w:rFonts w:hint="eastAsia" w:ascii="宋体" w:eastAsia="宋体"/>
          <w:b/>
          <w:szCs w:val="21"/>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：本次审核为补充审核，只审核了</w:t>
      </w:r>
      <w:r>
        <w:rPr>
          <w:rFonts w:hint="eastAsia"/>
          <w:b/>
          <w:sz w:val="26"/>
          <w:szCs w:val="26"/>
          <w:lang w:val="en-US" w:eastAsia="zh-CN"/>
        </w:rPr>
        <w:t>供销部。</w:t>
      </w:r>
    </w:p>
    <w:p>
      <w:pPr>
        <w:spacing w:before="163" w:beforeLines="50" w:after="163" w:afterLines="50"/>
        <w:ind w:left="-122" w:leftChars="-51" w:firstLine="120" w:firstLineChars="46"/>
        <w:rPr>
          <w:b/>
          <w:color w:val="FF0000"/>
          <w:sz w:val="26"/>
          <w:szCs w:val="26"/>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1704340</wp:posOffset>
            </wp:positionH>
            <wp:positionV relativeFrom="paragraph">
              <wp:posOffset>85725</wp:posOffset>
            </wp:positionV>
            <wp:extent cx="801370" cy="501015"/>
            <wp:effectExtent l="0" t="0" r="6350" b="190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801370" cy="50101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1742440</wp:posOffset>
            </wp:positionH>
            <wp:positionV relativeFrom="paragraph">
              <wp:posOffset>104775</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683895" cy="312420"/>
                    </a:xfrm>
                    <a:prstGeom prst="rect">
                      <a:avLst/>
                    </a:prstGeom>
                  </pic:spPr>
                </pic:pic>
              </a:graphicData>
            </a:graphic>
          </wp:anchor>
        </w:drawing>
      </w:r>
      <w:r>
        <w:rPr>
          <w:rFonts w:hint="eastAsia"/>
          <w:b/>
          <w:sz w:val="21"/>
        </w:rPr>
        <w:t>审核组组员（签名）：</w:t>
      </w:r>
      <w:bookmarkStart w:id="29" w:name="_GoBack"/>
      <w:bookmarkEnd w:id="29"/>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ascii="Times New Roman" w:hAnsi="Times New Roman" w:cs="Times New Roman"/>
          <w:b/>
          <w:sz w:val="24"/>
          <w:szCs w:val="24"/>
          <w:lang w:val="en-US" w:eastAsia="zh-CN"/>
        </w:rPr>
        <w:t>2021.4.10</w:t>
      </w:r>
    </w:p>
    <w:p>
      <w:pPr>
        <w:snapToGrid w:val="0"/>
        <w:spacing w:line="200" w:lineRule="exact"/>
        <w:ind w:firstLine="482" w:firstLineChars="300"/>
        <w:rPr>
          <w:b/>
          <w:sz w:val="16"/>
          <w:szCs w:val="1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 xml:space="preserve">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highlight w:val="none"/>
          <w:u w:val="single"/>
        </w:rPr>
      </w:pPr>
    </w:p>
    <w:p>
      <w:pPr>
        <w:spacing w:before="163" w:beforeLines="50"/>
        <w:ind w:firstLine="632" w:firstLineChars="300"/>
        <w:rPr>
          <w:b/>
          <w:sz w:val="21"/>
          <w:szCs w:val="21"/>
          <w:highlight w:val="none"/>
        </w:rPr>
      </w:pPr>
      <w:r>
        <w:rPr>
          <w:b/>
          <w:sz w:val="21"/>
          <w:szCs w:val="21"/>
          <w:highlight w:val="none"/>
        </w:rPr>
        <w:t>2.</w:t>
      </w:r>
      <w:r>
        <w:rPr>
          <w:rFonts w:hint="eastAsia"/>
          <w:b/>
          <w:sz w:val="21"/>
          <w:szCs w:val="21"/>
          <w:highlight w:val="none"/>
        </w:rPr>
        <w:t>验证结论：</w:t>
      </w:r>
    </w:p>
    <w:p>
      <w:pPr>
        <w:tabs>
          <w:tab w:val="left" w:pos="6880"/>
          <w:tab w:val="left" w:pos="7740"/>
          <w:tab w:val="left" w:pos="8385"/>
        </w:tabs>
        <w:snapToGrid w:val="0"/>
        <w:spacing w:before="163" w:beforeLines="50"/>
        <w:ind w:firstLine="1717" w:firstLineChars="900"/>
        <w:rPr>
          <w:b/>
          <w:sz w:val="21"/>
          <w:szCs w:val="21"/>
          <w:highlight w:val="none"/>
        </w:rPr>
      </w:pPr>
      <w:r>
        <w:rPr>
          <w:rFonts w:hint="eastAsia"/>
          <w:b/>
          <w:spacing w:val="-10"/>
          <w:sz w:val="21"/>
          <w:szCs w:val="21"/>
          <w:highlight w:val="none"/>
          <w:lang w:eastAsia="zh-CN"/>
        </w:rPr>
        <w:t>■</w:t>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tabs>
          <w:tab w:val="left" w:pos="3950"/>
          <w:tab w:val="left" w:pos="7740"/>
        </w:tabs>
        <w:snapToGrid w:val="0"/>
        <w:spacing w:before="163" w:beforeLines="50"/>
        <w:ind w:firstLine="758" w:firstLineChars="343"/>
        <w:rPr>
          <w:rFonts w:hint="eastAsia"/>
          <w:b/>
          <w:sz w:val="24"/>
          <w:szCs w:val="24"/>
          <w:highlight w:val="none"/>
          <w:lang w:val="en-US" w:eastAsia="zh-CN"/>
        </w:rPr>
      </w:pPr>
      <w:r>
        <w:rPr>
          <w:rFonts w:hint="eastAsia"/>
          <w:b/>
          <w:sz w:val="22"/>
          <w:szCs w:val="22"/>
          <w:highlight w:val="none"/>
        </w:rPr>
        <w:drawing>
          <wp:anchor distT="0" distB="0" distL="114300" distR="114300" simplePos="0" relativeHeight="251663360" behindDoc="0" locked="0" layoutInCell="1" allowOverlap="1">
            <wp:simplePos x="0" y="0"/>
            <wp:positionH relativeFrom="column">
              <wp:posOffset>1218565</wp:posOffset>
            </wp:positionH>
            <wp:positionV relativeFrom="paragraph">
              <wp:posOffset>8890</wp:posOffset>
            </wp:positionV>
            <wp:extent cx="737235" cy="461645"/>
            <wp:effectExtent l="0" t="0" r="9525" b="1079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737235" cy="461645"/>
                    </a:xfrm>
                    <a:prstGeom prst="rect">
                      <a:avLst/>
                    </a:prstGeom>
                    <a:noFill/>
                    <a:ln w="9525">
                      <a:noFill/>
                      <a:miter lim="800000"/>
                      <a:headEnd/>
                      <a:tailEnd/>
                    </a:ln>
                  </pic:spPr>
                </pic:pic>
              </a:graphicData>
            </a:graphic>
          </wp:anchor>
        </w:drawing>
      </w:r>
      <w:r>
        <w:rPr>
          <w:rFonts w:hint="eastAsia"/>
          <w:b/>
          <w:sz w:val="21"/>
          <w:szCs w:val="21"/>
          <w:highlight w:val="none"/>
        </w:rPr>
        <w:t>组长签字：</w:t>
      </w:r>
      <w:r>
        <w:rPr>
          <w:rFonts w:hint="eastAsia"/>
          <w:b/>
          <w:sz w:val="21"/>
          <w:szCs w:val="21"/>
          <w:highlight w:val="none"/>
          <w:lang w:val="en-US" w:eastAsia="zh-CN"/>
        </w:rPr>
        <w:t xml:space="preserve"> </w:t>
      </w:r>
      <w:r>
        <w:rPr>
          <w:rFonts w:hint="eastAsia"/>
          <w:b/>
          <w:sz w:val="21"/>
          <w:szCs w:val="21"/>
          <w:highlight w:val="none"/>
          <w:lang w:val="en-US" w:eastAsia="zh-CN"/>
        </w:rPr>
        <w:tab/>
      </w:r>
      <w:r>
        <w:rPr>
          <w:rFonts w:hint="eastAsia"/>
          <w:b/>
          <w:sz w:val="21"/>
          <w:szCs w:val="21"/>
          <w:highlight w:val="none"/>
          <w:lang w:val="en-US" w:eastAsia="zh-CN"/>
        </w:rPr>
        <w:t>日期：</w:t>
      </w:r>
      <w:r>
        <w:rPr>
          <w:rFonts w:hint="eastAsia"/>
          <w:b/>
          <w:sz w:val="24"/>
          <w:szCs w:val="24"/>
          <w:highlight w:val="none"/>
          <w:lang w:val="en-US" w:eastAsia="zh-CN"/>
        </w:rPr>
        <w:t>2021.4.10</w:t>
      </w:r>
    </w:p>
    <w:p>
      <w:pPr>
        <w:pStyle w:val="2"/>
        <w:rPr>
          <w:rFonts w:hint="default"/>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AE0E81F"/>
    <w:multiLevelType w:val="singleLevel"/>
    <w:tmpl w:val="6AE0E81F"/>
    <w:lvl w:ilvl="0" w:tentative="0">
      <w:start w:val="2"/>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170F60"/>
    <w:rsid w:val="38FD43DA"/>
    <w:rsid w:val="4EF148A2"/>
    <w:rsid w:val="6B261CA4"/>
    <w:rsid w:val="7E387E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2052"/>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2021-04-08T09:13:27Z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A7922CB525FD43D9A0207A3190F49284</vt:lpwstr>
  </property>
</Properties>
</file>