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重庆荣福玻璃销售有限公司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行政部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黄梅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line="360" w:lineRule="exact"/>
              <w:rPr>
                <w:rFonts w:hint="eastAsia"/>
                <w:b/>
                <w:szCs w:val="21"/>
              </w:rPr>
            </w:pPr>
          </w:p>
          <w:p>
            <w:pPr>
              <w:spacing w:line="360" w:lineRule="exact"/>
              <w:rPr>
                <w:rFonts w:hint="eastAsia" w:ascii="方正仿宋简体" w:eastAsia="宋体"/>
                <w:b/>
                <w:bCs w:val="0"/>
                <w:lang w:eastAsia="zh-CN"/>
              </w:rPr>
            </w:pPr>
            <w:r>
              <w:rPr>
                <w:rFonts w:hint="eastAsia"/>
                <w:b/>
                <w:szCs w:val="21"/>
              </w:rPr>
              <w:t>在</w:t>
            </w:r>
            <w:r>
              <w:rPr>
                <w:rFonts w:hint="eastAsia"/>
                <w:b/>
                <w:szCs w:val="21"/>
                <w:lang w:val="en-US" w:eastAsia="zh-CN"/>
              </w:rPr>
              <w:t>行政部</w:t>
            </w:r>
            <w:r>
              <w:rPr>
                <w:rFonts w:hint="eastAsia"/>
                <w:b/>
                <w:szCs w:val="21"/>
              </w:rPr>
              <w:t>审核时，抽查主管人员对标准要求的环境因素和危险源识别</w:t>
            </w:r>
            <w:r>
              <w:rPr>
                <w:rFonts w:hint="eastAsia"/>
                <w:b/>
                <w:szCs w:val="21"/>
                <w:lang w:val="en-US" w:eastAsia="zh-CN"/>
              </w:rPr>
              <w:t>的掌握情况，理解</w:t>
            </w:r>
            <w:r>
              <w:rPr>
                <w:rFonts w:hint="eastAsia"/>
                <w:b/>
                <w:szCs w:val="21"/>
              </w:rPr>
              <w:t>不到位。不符合标准 GB/T24001-2016的7.2c)确定与其环境因素和环</w:t>
            </w:r>
            <w:r>
              <w:rPr>
                <w:rFonts w:hint="eastAsia"/>
                <w:b/>
                <w:bCs w:val="0"/>
                <w:szCs w:val="21"/>
              </w:rPr>
              <w:t>境管理体系相关的培训需求和不符合标准</w:t>
            </w:r>
            <w:r>
              <w:rPr>
                <w:rFonts w:hint="eastAsia" w:ascii="宋体" w:hAnsi="宋体"/>
                <w:b/>
                <w:bCs w:val="0"/>
                <w:sz w:val="22"/>
                <w:szCs w:val="22"/>
              </w:rPr>
              <w:t>ISO45001：2018标准</w:t>
            </w:r>
            <w:r>
              <w:rPr>
                <w:rFonts w:hint="eastAsia"/>
                <w:b/>
                <w:bCs w:val="0"/>
                <w:szCs w:val="21"/>
              </w:rPr>
              <w:t>的</w:t>
            </w:r>
            <w:r>
              <w:rPr>
                <w:rFonts w:hint="eastAsia"/>
                <w:b/>
                <w:bCs w:val="0"/>
                <w:szCs w:val="21"/>
                <w:lang w:val="en-US" w:eastAsia="zh-CN"/>
              </w:rPr>
              <w:t>7</w:t>
            </w:r>
            <w:r>
              <w:rPr>
                <w:rFonts w:hint="eastAsia"/>
                <w:b/>
                <w:bCs w:val="0"/>
                <w:szCs w:val="21"/>
              </w:rPr>
              <w:t>.2</w:t>
            </w:r>
            <w:r>
              <w:rPr>
                <w:rFonts w:hint="eastAsia"/>
                <w:b/>
                <w:bCs w:val="0"/>
              </w:rPr>
              <w:t>工作人员的能力宜包括对与其工作和工作场所有关的危险源和职业健康安全风险进行恰当辨识和处置所需的知识和技能</w:t>
            </w:r>
            <w:r>
              <w:rPr>
                <w:rFonts w:hint="eastAsia"/>
                <w:b/>
                <w:bCs w:val="0"/>
                <w:szCs w:val="21"/>
                <w:lang w:eastAsia="zh-CN"/>
              </w:rPr>
              <w:t>。</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 GB/T 19001:2016 idt ISO 9001:2015标准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sym w:font="Wingdings 2" w:char="0052"/>
            </w:r>
            <w:r>
              <w:rPr>
                <w:rFonts w:hint="eastAsia" w:ascii="宋体" w:hAnsi="宋体"/>
                <w:b/>
                <w:sz w:val="22"/>
                <w:szCs w:val="22"/>
              </w:rPr>
              <w:t xml:space="preserve"> GB/T 24001-2016 idt ISO 14001:2015标准  </w:t>
            </w:r>
            <w:r>
              <w:rPr>
                <w:rFonts w:hint="eastAsia" w:ascii="宋体" w:hAnsi="宋体"/>
                <w:b/>
                <w:sz w:val="22"/>
                <w:szCs w:val="22"/>
                <w:lang w:val="en-US" w:eastAsia="zh-CN"/>
              </w:rPr>
              <w:t>7.2</w:t>
            </w:r>
            <w:r>
              <w:rPr>
                <w:rFonts w:hint="eastAsia" w:ascii="宋体" w:hAnsi="宋体"/>
                <w:b/>
                <w:sz w:val="22"/>
                <w:szCs w:val="22"/>
              </w:rPr>
              <w:t xml:space="preserve">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sym w:font="Wingdings 2" w:char="0052"/>
            </w:r>
            <w:r>
              <w:rPr>
                <w:rFonts w:hint="eastAsia" w:ascii="宋体" w:hAnsi="宋体"/>
                <w:b/>
                <w:sz w:val="22"/>
                <w:szCs w:val="22"/>
              </w:rPr>
              <w:t xml:space="preserve"> ISO45001：2018标准 </w:t>
            </w:r>
            <w:r>
              <w:rPr>
                <w:rFonts w:hint="eastAsia" w:ascii="宋体" w:hAnsi="宋体"/>
                <w:b/>
                <w:sz w:val="22"/>
                <w:szCs w:val="22"/>
                <w:lang w:val="en-US" w:eastAsia="zh-CN"/>
              </w:rPr>
              <w:t>7.2</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bookmarkStart w:id="5" w:name="_GoBack"/>
            <w:bookmarkEnd w:id="5"/>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ascii="宋体" w:hAnsi="宋体" w:eastAsia="宋体" w:cs="Times New Roman"/>
                <w:kern w:val="2"/>
                <w:sz w:val="21"/>
                <w:szCs w:val="22"/>
                <w:lang w:val="en-US" w:eastAsia="zh-CN" w:bidi="ar-SA"/>
              </w:rPr>
              <w:drawing>
                <wp:anchor distT="0" distB="0" distL="114300" distR="114300" simplePos="0" relativeHeight="251693056" behindDoc="0" locked="0" layoutInCell="1" allowOverlap="1">
                  <wp:simplePos x="0" y="0"/>
                  <wp:positionH relativeFrom="column">
                    <wp:posOffset>3065145</wp:posOffset>
                  </wp:positionH>
                  <wp:positionV relativeFrom="paragraph">
                    <wp:posOffset>142875</wp:posOffset>
                  </wp:positionV>
                  <wp:extent cx="328930" cy="304800"/>
                  <wp:effectExtent l="0" t="0" r="6350" b="0"/>
                  <wp:wrapNone/>
                  <wp:docPr id="2"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e69cce4380e02713697e955d1ffd9"/>
                          <pic:cNvPicPr>
                            <a:picLocks noChangeAspect="1"/>
                          </pic:cNvPicPr>
                        </pic:nvPicPr>
                        <pic:blipFill>
                          <a:blip r:embed="rId6"/>
                          <a:stretch>
                            <a:fillRect/>
                          </a:stretch>
                        </pic:blipFill>
                        <pic:spPr>
                          <a:xfrm>
                            <a:off x="0" y="0"/>
                            <a:ext cx="328930" cy="304800"/>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日期：2021年04月12日     日期：2021年04月12日     日期：2021年04月12日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A02224A"/>
    <w:rsid w:val="4E1C645B"/>
    <w:rsid w:val="6631521F"/>
    <w:rsid w:val="683054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0</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小冉</cp:lastModifiedBy>
  <cp:lastPrinted>2019-05-13T03:02:00Z</cp:lastPrinted>
  <dcterms:modified xsi:type="dcterms:W3CDTF">2021-04-14T13:44:53Z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