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北京澹洋科技有限公司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北京澹洋科技有限公司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北京市房山区书院南街12号院2号楼9层927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北京市房山区大件路燕山石化动力厂对面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周家仪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17501121789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010-89332058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杨晓波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周立博</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Q：化工原料（合成树脂、合成橡胶、橡塑改性材料）（不含危险品）、木制品的销售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E：化工原料（合成树脂、合成橡胶、橡塑改性材料）（不含危险品）、木制品的销售所涉及场所的相关环境管理活动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O：化工原料（合成树脂、合成橡胶、橡塑改性材料）（不含危险品）、木制品的销售所涉及场所的相关职业健康安全管理活动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2020-05-12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综合部</w:t>
            </w:r>
          </w:p>
        </w:tc>
        <w:tc>
          <w:tcPr>
            <w:tcW w:w="6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7.5/</w:t>
            </w:r>
            <w:r>
              <w:rPr>
                <w:rFonts w:hint="eastAsia" w:ascii="Times New Roman" w:hAnsi="Times New Roman" w:eastAsia="宋体" w:cs="Times New Roman"/>
                <w:sz w:val="21"/>
                <w:szCs w:val="21"/>
                <w:lang w:val="en-US" w:eastAsia="zh-CN"/>
              </w:rPr>
              <w:t>8.4</w:t>
            </w:r>
            <w:r>
              <w:rPr>
                <w:rFonts w:hint="eastAsia" w:ascii="Times New Roman" w:hAnsi="Times New Roman" w:cs="Times New Roman"/>
                <w:sz w:val="21"/>
                <w:szCs w:val="21"/>
                <w:lang w:val="en-US" w:eastAsia="zh-CN"/>
              </w:rPr>
              <w:t>/9.1.1/9.1.3/</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Q5.3/6.2/7.1.5/8.1/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w:t>
            </w: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化工原料（合成树脂、合成橡胶、橡塑改性材料）（不含危险品）、木制品的销售</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12</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80" w:lineRule="exact"/>
              <w:rPr>
                <w:rFonts w:hint="eastAsia" w:ascii="宋体" w:hAnsi="宋体"/>
                <w:b/>
                <w:color w:val="000000" w:themeColor="text1"/>
                <w:sz w:val="20"/>
                <w:szCs w:val="20"/>
              </w:rPr>
            </w:pPr>
            <w:r>
              <w:rPr>
                <w:rFonts w:hint="eastAsia"/>
                <w:b/>
                <w:color w:val="000000" w:themeColor="text1"/>
                <w:spacing w:val="-10"/>
                <w:sz w:val="20"/>
                <w:szCs w:val="20"/>
                <w:lang w:val="en-US" w:eastAsia="zh-CN"/>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exact"/>
              <w:rPr>
                <w:rFonts w:hint="eastAsia" w:ascii="Times New Roman" w:hAnsi="Times New Roman" w:eastAsia="宋体" w:cs="Times New Roman"/>
                <w:lang w:val="en-US" w:eastAsia="zh-CN"/>
              </w:rPr>
            </w:pPr>
            <w:r>
              <w:rPr>
                <w:rFonts w:hint="eastAsia" w:ascii="Times New Roman" w:hAnsi="Times New Roman" w:eastAsia="宋体" w:cs="Times New Roman"/>
              </w:rPr>
              <w:t>质量/环境/职业健康安全方针</w:t>
            </w:r>
          </w:p>
          <w:p>
            <w:pPr>
              <w:numPr>
                <w:ilvl w:val="0"/>
                <w:numId w:val="0"/>
              </w:numPr>
              <w:spacing w:line="28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遵循环境法规，立足污染预防，追求节能低碳，创建环保品牌；</w:t>
            </w:r>
          </w:p>
          <w:p>
            <w:pPr>
              <w:pStyle w:val="3"/>
              <w:spacing w:line="420" w:lineRule="exact"/>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倡导以人为本，关爱员工健康，和谐持续发展，彰显社会责任。</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240" w:lineRule="exact"/>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rPr>
                <w:b/>
                <w:color w:val="000000" w:themeColor="text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eastAsia="zh-CN"/>
              </w:rPr>
              <w:t>销售部紧密与客户沟通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w:t>
            </w:r>
            <w:r>
              <w:rPr>
                <w:rFonts w:hint="eastAsia" w:ascii="宋体" w:hAnsi="宋体"/>
                <w:b w:val="0"/>
                <w:bCs/>
                <w:color w:val="000000" w:themeColor="text1"/>
                <w:sz w:val="20"/>
                <w:szCs w:val="20"/>
                <w:u w:val="none"/>
                <w:lang w:val="en-US" w:eastAsia="zh-CN"/>
              </w:rPr>
              <w:t>销售服务</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eastAsia="宋体"/>
                <w:szCs w:val="22"/>
                <w:lang w:val="en-US" w:eastAsia="zh-CN"/>
              </w:rPr>
              <w:t>因公司所销售的产品，按照国家标准及顾客的要求进行</w:t>
            </w:r>
            <w:r>
              <w:rPr>
                <w:rFonts w:hint="eastAsia" w:eastAsia="宋体"/>
                <w:szCs w:val="22"/>
                <w:u w:val="single"/>
                <w:lang w:val="en-US" w:eastAsia="zh-CN"/>
              </w:rPr>
              <w:t>，该条款的不适用,不影响组织确保其产品和服务合格的能力和责任，也不会对增强顾客满意产生影响。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综合部组织全体部门对所涉及的环境因素进行识别，并评价出重要环境因素，提供环境因素评价记录，目前环境因素识别基本完整，评价的重要环境因素</w:t>
            </w:r>
            <w:r>
              <w:rPr>
                <w:rFonts w:hint="default" w:ascii="Times New Roman" w:hAnsi="Times New Roman" w:cs="Times New Roman"/>
                <w:sz w:val="21"/>
                <w:szCs w:val="21"/>
                <w:highlight w:val="none"/>
              </w:rPr>
              <w:t>潜在火灾</w:t>
            </w:r>
            <w:r>
              <w:rPr>
                <w:rFonts w:hint="eastAsia" w:ascii="Times New Roman" w:hAnsi="Times New Roman" w:cs="Times New Roman"/>
                <w:sz w:val="21"/>
                <w:szCs w:val="21"/>
                <w:highlight w:val="none"/>
                <w:lang w:val="en-US" w:eastAsia="zh-CN"/>
              </w:rPr>
              <w:t>发生</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固体废弃物</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综合部组织</w:t>
            </w:r>
            <w:r>
              <w:rPr>
                <w:rFonts w:hint="eastAsia" w:ascii="宋体" w:hAnsi="宋体"/>
                <w:color w:val="auto"/>
                <w:sz w:val="21"/>
                <w:szCs w:val="21"/>
                <w:lang w:val="en-US" w:eastAsia="zh-CN"/>
              </w:rPr>
              <w:t>全体部门所涉及的危险源进行识别，并评价出重大危险源，提供重大危险源评价记录，目前危险源识别基本完整，评价的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szCs w:val="22"/>
                <w:lang w:val="en-US" w:eastAsia="zh-CN"/>
              </w:rPr>
              <w:t>火灾、交通事故、触电、人身伤害、化学产品中毒</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管理目标： 1）销售产品合格率98%；2）产品交付及时率98%；3）合同评审率100%；4）顾客满意率95%以上；5)固体废弃物100%分类，合理处理；6）环境污染事故发生率为零；7）各类重伤以上事故发生率为零； 8）火灾事故发生率为零。</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eastAsia="zh-CN"/>
              </w:rPr>
              <w:t>每</w:t>
            </w:r>
            <w:r>
              <w:rPr>
                <w:rFonts w:hint="eastAsia" w:ascii="Times New Roman" w:hAnsi="Times New Roman" w:cs="宋体"/>
                <w:lang w:val="en-US" w:eastAsia="zh-CN"/>
              </w:rPr>
              <w:t>三个月</w:t>
            </w:r>
            <w:r>
              <w:rPr>
                <w:rFonts w:hint="eastAsia" w:ascii="Times New Roman" w:hAnsi="Times New Roman" w:cs="宋体"/>
              </w:rPr>
              <w:t>考核一次，</w:t>
            </w:r>
            <w:r>
              <w:rPr>
                <w:rFonts w:hint="eastAsia" w:ascii="Times New Roman" w:hAnsi="Times New Roman" w:cs="宋体"/>
                <w:lang w:val="en-US" w:eastAsia="zh-CN"/>
              </w:rPr>
              <w:t>查看2020年7-9月各部门目标考核记录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综合部</w:t>
            </w:r>
            <w:r>
              <w:rPr>
                <w:rFonts w:hint="eastAsia" w:ascii="Times New Roman" w:hAnsi="Times New Roman" w:cs="宋体"/>
              </w:rPr>
              <w:t>组织编写，总经理批准发布实施，</w:t>
            </w:r>
            <w:r>
              <w:rPr>
                <w:rFonts w:hint="eastAsia" w:cs="宋体"/>
                <w:lang w:val="en-US" w:eastAsia="zh-CN"/>
              </w:rPr>
              <w:t>综合部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综合部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val="en-US" w:eastAsia="zh-CN"/>
              </w:rPr>
              <w:t>综合部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12</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电脑、一体机、电话、货架等办公及仓储设备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sz w:val="21"/>
                <w:szCs w:val="21"/>
                <w:lang w:val="en-US" w:eastAsia="zh-CN"/>
              </w:rPr>
              <w:t>公司经营店</w:t>
            </w:r>
            <w:r>
              <w:rPr>
                <w:rFonts w:hint="eastAsia" w:ascii="Times New Roman" w:hAnsi="Times New Roman" w:eastAsia="宋体" w:cs="宋体"/>
                <w:lang w:val="en-US" w:eastAsia="zh-CN"/>
              </w:rPr>
              <w:t>址：</w:t>
            </w:r>
            <w:r>
              <w:rPr>
                <w:rFonts w:hint="eastAsia" w:ascii="Times New Roman" w:hAnsi="Times New Roman" w:eastAsia="宋体" w:cs="Times New Roman"/>
                <w:sz w:val="21"/>
                <w:szCs w:val="21"/>
                <w:lang w:val="en-US" w:eastAsia="zh-CN"/>
              </w:rPr>
              <w:t>北京市房山区大件路燕山石化动力厂对面；办公</w:t>
            </w:r>
            <w:r>
              <w:rPr>
                <w:rFonts w:hint="eastAsia" w:ascii="Times New Roman" w:hAnsi="Times New Roman" w:eastAsia="宋体" w:cs="宋体"/>
                <w:lang w:eastAsia="zh-CN"/>
              </w:rPr>
              <w:t>区域布局合理，场所卫生干净整洁，工作环境良好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tabs>
                <w:tab w:val="left" w:pos="540"/>
              </w:tabs>
              <w:spacing w:line="240" w:lineRule="exact"/>
              <w:rPr>
                <w:rFonts w:hint="eastAsia" w:ascii="Times New Roman" w:hAnsi="Times New Roman" w:eastAsia="宋体" w:cs="宋体"/>
              </w:rPr>
            </w:pPr>
            <w:r>
              <w:rPr>
                <w:rFonts w:hint="eastAsia" w:ascii="Times New Roman" w:hAnsi="Times New Roman" w:eastAsia="宋体" w:cs="宋体"/>
              </w:rPr>
              <w:t>公司对法律法规及其他要求进行了获取，</w:t>
            </w:r>
            <w:r>
              <w:rPr>
                <w:rFonts w:hint="default" w:ascii="Times New Roman" w:hAnsi="Times New Roman" w:eastAsia="宋体" w:cs="宋体"/>
                <w:lang w:eastAsia="zh-CN"/>
              </w:rPr>
              <w:t>包括</w:t>
            </w:r>
            <w:r>
              <w:rPr>
                <w:rFonts w:hint="eastAsia" w:ascii="Times New Roman" w:hAnsi="Times New Roman" w:eastAsia="宋体" w:cs="宋体"/>
                <w:lang w:val="en-US" w:eastAsia="zh-CN"/>
              </w:rPr>
              <w:t>中华人民共和国产品质量法、中华人民共和国消费者权益保护法、中华人民共和国专利法、中华人民共和国商标法等法律法规、中华人民共和国环境保护法、中华人民共和国固体废物污染环境防治法、中华人民共和国劳动法、中华人民共和国消防法、中华人民共和国职业病防治法、工伤保险条例、作业场所职业健康管理暂行规定、用人单位劳动防护用品管理规范、T/CPQS F001-2020 木质办公家具环保等级评价技术要求及其他要求。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numPr>
                <w:ilvl w:val="0"/>
                <w:numId w:val="0"/>
              </w:numPr>
              <w:spacing w:line="240" w:lineRule="exact"/>
              <w:rPr>
                <w:rFonts w:hint="eastAsia" w:ascii="Times New Roman" w:hAnsi="Times New Roman" w:eastAsia="宋体" w:cs="Times New Roman"/>
                <w:lang w:val="en-US" w:eastAsia="zh-CN"/>
              </w:rPr>
            </w:pPr>
            <w:r>
              <w:rPr>
                <w:rFonts w:hint="eastAsia" w:ascii="Times New Roman" w:hAnsi="Times New Roman" w:eastAsia="宋体" w:cs="Times New Roman"/>
              </w:rPr>
              <w:t>质量/环境/职业健康安全方针</w:t>
            </w:r>
          </w:p>
          <w:p>
            <w:pPr>
              <w:numPr>
                <w:ilvl w:val="0"/>
                <w:numId w:val="0"/>
              </w:numPr>
              <w:spacing w:line="28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遵循环境法规，立足污染预防，追求节能低碳，创建环保品牌；</w:t>
            </w:r>
          </w:p>
          <w:p>
            <w:pPr>
              <w:pStyle w:val="3"/>
              <w:spacing w:line="420" w:lineRule="exact"/>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倡导以人为本，关爱员工健康，和谐持续发展，彰显社会责任。</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主要熔喷料、聚丙烯料、木质托盘</w:t>
            </w:r>
            <w:r>
              <w:rPr>
                <w:rFonts w:hint="eastAsia"/>
                <w:b w:val="0"/>
                <w:bCs w:val="0"/>
                <w:sz w:val="21"/>
                <w:szCs w:val="21"/>
                <w:lang w:val="en-US" w:eastAsia="zh-CN"/>
              </w:rPr>
              <w:t>等</w:t>
            </w:r>
            <w:r>
              <w:rPr>
                <w:rFonts w:hint="eastAsia"/>
                <w:sz w:val="21"/>
                <w:szCs w:val="21"/>
                <w:lang w:val="en-US" w:eastAsia="zh-CN"/>
              </w:rPr>
              <w:t>，</w:t>
            </w:r>
            <w:r>
              <w:rPr>
                <w:rFonts w:hint="eastAsia"/>
                <w:sz w:val="21"/>
                <w:szCs w:val="21"/>
              </w:rPr>
              <w:t>编制</w:t>
            </w:r>
            <w:r>
              <w:rPr>
                <w:rFonts w:hint="eastAsia"/>
                <w:sz w:val="21"/>
                <w:szCs w:val="21"/>
                <w:lang w:eastAsia="zh-CN"/>
              </w:rPr>
              <w:t>进货检验规范</w:t>
            </w:r>
            <w:r>
              <w:rPr>
                <w:rFonts w:hint="eastAsia"/>
                <w:sz w:val="21"/>
                <w:szCs w:val="21"/>
              </w:rPr>
              <w:t>等作业文件规定采购产品质量要求；其次对供方进行了评价</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lang w:val="en-US" w:eastAsia="zh-CN"/>
              </w:rPr>
              <w:t>产品和服务要求控制程序》</w:t>
            </w:r>
            <w:r>
              <w:rPr>
                <w:rFonts w:hint="eastAsia" w:ascii="宋体" w:hAnsi="宋体"/>
                <w:sz w:val="21"/>
                <w:szCs w:val="21"/>
                <w:lang w:val="en-US" w:eastAsia="zh-CN"/>
              </w:rPr>
              <w:t>、《</w:t>
            </w:r>
            <w:r>
              <w:rPr>
                <w:rFonts w:hint="eastAsia" w:ascii="宋体" w:hAnsi="宋体"/>
                <w:color w:val="000000"/>
                <w:szCs w:val="21"/>
                <w:lang w:val="en-US" w:eastAsia="zh-CN"/>
              </w:rPr>
              <w:t>外部过程提供控制程序</w:t>
            </w:r>
            <w:r>
              <w:rPr>
                <w:rFonts w:hint="eastAsia" w:ascii="宋体" w:hAnsi="宋体"/>
                <w:sz w:val="21"/>
                <w:szCs w:val="21"/>
                <w:lang w:val="en-US" w:eastAsia="zh-CN"/>
              </w:rPr>
              <w:t>》、《</w:t>
            </w:r>
            <w:r>
              <w:rPr>
                <w:rFonts w:hint="eastAsia" w:ascii="宋体" w:hAnsi="宋体"/>
                <w:color w:val="000000"/>
                <w:spacing w:val="4"/>
                <w:szCs w:val="21"/>
              </w:rPr>
              <w:t>顾客满</w:t>
            </w:r>
            <w:r>
              <w:rPr>
                <w:rFonts w:hint="eastAsia" w:ascii="宋体" w:hAnsi="宋体"/>
                <w:color w:val="000000"/>
                <w:spacing w:val="4"/>
                <w:szCs w:val="21"/>
                <w:lang w:eastAsia="zh-CN"/>
              </w:rPr>
              <w:t>度测量</w:t>
            </w:r>
            <w:r>
              <w:rPr>
                <w:rFonts w:hint="eastAsia" w:ascii="宋体" w:hAnsi="宋体"/>
                <w:color w:val="000000"/>
                <w:spacing w:val="4"/>
                <w:szCs w:val="21"/>
              </w:rPr>
              <w:t>程序</w:t>
            </w:r>
            <w:r>
              <w:rPr>
                <w:rFonts w:hint="eastAsia" w:ascii="宋体" w:hAnsi="宋体"/>
                <w:color w:val="000000"/>
                <w:spacing w:val="4"/>
                <w:szCs w:val="21"/>
                <w:lang w:eastAsia="zh-CN"/>
              </w:rPr>
              <w:t>》</w:t>
            </w:r>
            <w:r>
              <w:rPr>
                <w:rFonts w:hint="eastAsia" w:ascii="宋体" w:hAnsi="宋体"/>
                <w:color w:val="000000"/>
                <w:spacing w:val="4"/>
                <w:szCs w:val="21"/>
                <w:lang w:val="en-US" w:eastAsia="zh-CN"/>
              </w:rPr>
              <w:t>等程序及</w:t>
            </w:r>
            <w:r>
              <w:rPr>
                <w:rFonts w:hint="eastAsia" w:ascii="宋体" w:hAnsi="宋体" w:cs="宋体"/>
                <w:szCs w:val="21"/>
                <w:lang w:val="en-US" w:eastAsia="zh-CN"/>
              </w:rPr>
              <w:t>《进货检验规范》、《销售服务管理规范》、《销售管理制度》、《售后服务管理制度》等多个工艺文件</w:t>
            </w:r>
            <w:r>
              <w:rPr>
                <w:rFonts w:hint="eastAsia"/>
                <w:sz w:val="21"/>
                <w:szCs w:val="21"/>
                <w:lang w:val="en-US" w:eastAsia="zh-CN"/>
              </w:rPr>
              <w:t>，由项目负责人组织人员、物资等资源进行销售服务，</w:t>
            </w:r>
            <w:r>
              <w:rPr>
                <w:rFonts w:hint="eastAsia" w:ascii="宋体" w:hAnsi="宋体"/>
                <w:sz w:val="21"/>
                <w:szCs w:val="21"/>
                <w:lang w:val="en-US" w:eastAsia="zh-CN"/>
              </w:rPr>
              <w:t>行跟踪</w:t>
            </w:r>
            <w:r>
              <w:rPr>
                <w:rFonts w:hint="eastAsia" w:ascii="宋体" w:hAnsi="宋体"/>
                <w:sz w:val="21"/>
                <w:szCs w:val="21"/>
              </w:rPr>
              <w:t>，</w:t>
            </w:r>
            <w:r>
              <w:rPr>
                <w:rFonts w:hint="eastAsia" w:ascii="宋体" w:hAnsi="宋体"/>
                <w:sz w:val="21"/>
                <w:szCs w:val="21"/>
                <w:lang w:val="en-US" w:eastAsia="zh-CN"/>
              </w:rPr>
              <w:t>评审服务的完成情况、服务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color w:val="000000"/>
                <w:szCs w:val="21"/>
                <w:lang w:val="en-US" w:eastAsia="zh-CN"/>
              </w:rPr>
              <w:t>质量管理制度、</w:t>
            </w:r>
            <w:r>
              <w:rPr>
                <w:rFonts w:hint="eastAsia" w:ascii="宋体" w:hAnsi="宋体" w:eastAsia="宋体" w:cs="宋体"/>
                <w:lang w:val="en-US" w:eastAsia="zh-CN"/>
              </w:rPr>
              <w:t xml:space="preserve"> 环境管理制度、安全管理制度、</w:t>
            </w:r>
            <w:r>
              <w:rPr>
                <w:rFonts w:hint="eastAsia" w:ascii="宋体" w:hAnsi="宋体" w:eastAsia="宋体" w:cs="宋体"/>
                <w:lang w:eastAsia="zh-CN"/>
              </w:rPr>
              <w:t>，</w:t>
            </w:r>
            <w:r>
              <w:rPr>
                <w:rFonts w:hint="eastAsia"/>
                <w:sz w:val="21"/>
                <w:szCs w:val="21"/>
              </w:rPr>
              <w:t>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提供有办公区检查表、相关方告知书。</w:t>
            </w:r>
            <w:r>
              <w:rPr>
                <w:rFonts w:hint="eastAsia"/>
                <w:color w:val="auto"/>
                <w:sz w:val="21"/>
                <w:szCs w:val="21"/>
                <w:lang w:val="en-US" w:eastAsia="zh-CN"/>
              </w:rPr>
              <w:t>未能提供对供方</w:t>
            </w:r>
            <w:r>
              <w:rPr>
                <w:rFonts w:hint="eastAsia" w:ascii="方正仿宋简体" w:eastAsia="方正仿宋简体"/>
                <w:b w:val="0"/>
                <w:bCs/>
                <w:color w:val="auto"/>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相关方施加影响等进行控制，具体措施有对员工进行安全教育，对相关方进行告知</w:t>
            </w:r>
            <w:r>
              <w:rPr>
                <w:rFonts w:hint="eastAsia"/>
                <w:color w:val="auto"/>
                <w:sz w:val="21"/>
                <w:szCs w:val="21"/>
              </w:rPr>
              <w:t>，</w:t>
            </w:r>
            <w:r>
              <w:rPr>
                <w:rFonts w:hint="eastAsia"/>
                <w:color w:val="auto"/>
                <w:sz w:val="21"/>
                <w:szCs w:val="21"/>
                <w:lang w:val="en-US" w:eastAsia="zh-CN"/>
              </w:rPr>
              <w:t>但未能提供对供方</w:t>
            </w:r>
            <w:r>
              <w:rPr>
                <w:rFonts w:hint="eastAsia" w:ascii="方正仿宋简体" w:eastAsia="方正仿宋简体"/>
                <w:b w:val="0"/>
                <w:bCs/>
                <w:color w:val="auto"/>
                <w:lang w:val="en-US" w:eastAsia="zh-CN"/>
              </w:rPr>
              <w:t>施加影响的证据。</w:t>
            </w:r>
            <w:r>
              <w:rPr>
                <w:rFonts w:hint="eastAsia"/>
                <w:color w:val="auto"/>
                <w:sz w:val="21"/>
                <w:szCs w:val="21"/>
              </w:rPr>
              <w:t>办公区域干净整洁，配置灭火器等消防设施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演练、触电应急演练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w:t>
            </w:r>
            <w:r>
              <w:rPr>
                <w:rFonts w:hint="eastAsia"/>
                <w:sz w:val="21"/>
                <w:szCs w:val="21"/>
                <w:lang w:val="en-US" w:eastAsia="zh-CN"/>
              </w:rPr>
              <w:t>+</w:t>
            </w:r>
            <w:r>
              <w:rPr>
                <w:rFonts w:hint="eastAsia"/>
                <w:sz w:val="21"/>
                <w:szCs w:val="21"/>
              </w:rPr>
              <w:t>在方针的框架下展开，每</w:t>
            </w:r>
            <w:r>
              <w:rPr>
                <w:rFonts w:hint="eastAsia"/>
                <w:sz w:val="21"/>
                <w:szCs w:val="21"/>
                <w:lang w:val="en-US" w:eastAsia="zh-CN"/>
              </w:rPr>
              <w:t>三个月</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7-9月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20年9月25日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销售活动不涉及职业病，定期为职工发放劳保用品及防护口罩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综合部</w:t>
      </w:r>
      <w:r>
        <w:rPr>
          <w:rFonts w:hint="eastAsia"/>
          <w:b/>
          <w:color w:val="000000" w:themeColor="text1"/>
        </w:rPr>
        <w:t>部门条款，分布</w:t>
      </w:r>
      <w:r>
        <w:rPr>
          <w:rFonts w:hint="eastAsia"/>
          <w:b/>
          <w:color w:val="auto"/>
        </w:rPr>
        <w:t>GB/T24001-2016标准的</w:t>
      </w:r>
      <w:r>
        <w:rPr>
          <w:rFonts w:hint="eastAsia"/>
          <w:b/>
          <w:color w:val="auto"/>
          <w:lang w:val="en-US" w:eastAsia="zh-CN"/>
        </w:rPr>
        <w:t>8.1</w:t>
      </w:r>
      <w:r>
        <w:rPr>
          <w:rFonts w:hint="eastAsia"/>
          <w:b/>
          <w:color w:val="auto"/>
        </w:rPr>
        <w:t>条款，</w:t>
      </w:r>
      <w:r>
        <w:rPr>
          <w:rFonts w:hint="eastAsia"/>
          <w:b/>
          <w:color w:val="auto"/>
          <w:lang w:val="en-US" w:eastAsia="zh-CN"/>
        </w:rPr>
        <w:t>GB/T45001-2020</w:t>
      </w:r>
      <w:r>
        <w:rPr>
          <w:rFonts w:hint="eastAsia"/>
          <w:b/>
          <w:color w:val="auto"/>
        </w:rPr>
        <w:t>标准的</w:t>
      </w:r>
      <w:r>
        <w:rPr>
          <w:rFonts w:hint="eastAsia"/>
          <w:b/>
          <w:color w:val="auto"/>
          <w:lang w:val="en-US" w:eastAsia="zh-CN"/>
        </w:rPr>
        <w:t>8.1.4</w:t>
      </w:r>
      <w:r>
        <w:rPr>
          <w:rFonts w:hint="eastAsia"/>
          <w:b/>
          <w:color w:val="auto"/>
        </w:rPr>
        <w:t>条款</w:t>
      </w:r>
      <w:r>
        <w:rPr>
          <w:rFonts w:hint="eastAsia"/>
          <w:b/>
          <w:color w:val="000000" w:themeColor="text1"/>
        </w:rPr>
        <w:t>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napToGrid w:val="0"/>
              <w:spacing w:after="94" w:afterLines="30"/>
              <w:ind w:firstLine="211" w:firstLineChars="100"/>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Times New Roman" w:hAnsi="Times New Roman" w:eastAsia="宋体" w:cs="Times New Roman"/>
                <w:color w:val="auto"/>
                <w:kern w:val="2"/>
                <w:sz w:val="21"/>
                <w:szCs w:val="21"/>
                <w:u w:val="single"/>
                <w:lang w:val="en-GB"/>
              </w:rPr>
              <w:t xml:space="preserve">  北京澹洋科技有限公司</w:t>
            </w:r>
            <w:r>
              <w:rPr>
                <w:rFonts w:hint="eastAsia" w:ascii="Times New Roman" w:hAnsi="Times New Roman" w:eastAsia="宋体" w:cs="Times New Roman"/>
                <w:color w:val="auto"/>
                <w:kern w:val="2"/>
                <w:sz w:val="21"/>
                <w:szCs w:val="21"/>
                <w:u w:val="single"/>
                <w:lang w:val="en-US" w:eastAsia="zh-CN"/>
              </w:rPr>
              <w:t xml:space="preserve">   </w:t>
            </w:r>
            <w:r>
              <w:rPr>
                <w:rFonts w:hint="eastAsia" w:ascii="Times New Roman" w:hAnsi="Times New Roman" w:eastAsia="宋体" w:cs="Times New Roman"/>
                <w:color w:val="auto"/>
                <w:kern w:val="2"/>
                <w:sz w:val="21"/>
                <w:szCs w:val="21"/>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2"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ascii="宋体" w:hAnsi="宋体"/>
          <w:kern w:val="2"/>
          <w:sz w:val="24"/>
          <w:lang w:val="en-US" w:eastAsia="zh-CN" w:bidi="ar-SA"/>
        </w:rPr>
        <w:drawing>
          <wp:inline distT="0" distB="0" distL="114300" distR="114300">
            <wp:extent cx="472440" cy="333375"/>
            <wp:effectExtent l="0" t="0" r="10160" b="9525"/>
            <wp:docPr id="5" name="图片 5"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A3"/>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ascii="宋体" w:hAnsi="宋体"/>
          <w:kern w:val="2"/>
          <w:sz w:val="24"/>
          <w:lang w:val="en-US" w:eastAsia="zh-CN" w:bidi="ar-SA"/>
        </w:rPr>
        <w:drawing>
          <wp:inline distT="0" distB="0" distL="114300" distR="114300">
            <wp:extent cx="472440" cy="333375"/>
            <wp:effectExtent l="0" t="0" r="10160" b="9525"/>
            <wp:docPr id="3" name="图片 3"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8</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22" w:name="_GoBack"/>
      <w:bookmarkEnd w:id="22"/>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04EEB"/>
    <w:multiLevelType w:val="singleLevel"/>
    <w:tmpl w:val="FA604EEB"/>
    <w:lvl w:ilvl="0" w:tentative="0">
      <w:start w:val="8"/>
      <w:numFmt w:val="decimal"/>
      <w:suff w:val="space"/>
      <w:lvlText w:val="%1."/>
      <w:lvlJc w:val="left"/>
    </w:lvl>
  </w:abstractNum>
  <w:abstractNum w:abstractNumId="1">
    <w:nsid w:val="1FE173BB"/>
    <w:multiLevelType w:val="singleLevel"/>
    <w:tmpl w:val="1FE173BB"/>
    <w:lvl w:ilvl="0" w:tentative="0">
      <w:start w:val="5"/>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A27C16D"/>
    <w:multiLevelType w:val="singleLevel"/>
    <w:tmpl w:val="7A27C16D"/>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DC5B51"/>
    <w:rsid w:val="23207819"/>
    <w:rsid w:val="2C0B1E1B"/>
    <w:rsid w:val="5C42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iPriority w:val="0"/>
    <w:pPr>
      <w:spacing w:line="360" w:lineRule="auto"/>
      <w:ind w:firstLine="624"/>
    </w:pPr>
    <w:rPr>
      <w:sz w:val="28"/>
      <w:szCs w:val="20"/>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5"/>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2021-04-10T13:46:13Z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269285471_btnclosed</vt:lpwstr>
  </property>
  <property fmtid="{D5CDD505-2E9C-101B-9397-08002B2CF9AE}" pid="4" name="ICV">
    <vt:lpwstr>208985D2BDA04FFF9CFE7A99187AABC2</vt:lpwstr>
  </property>
</Properties>
</file>