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/>
          <w:b/>
          <w:sz w:val="30"/>
        </w:rPr>
      </w:pPr>
      <w:bookmarkStart w:id="2" w:name="_GoBack"/>
      <w:r>
        <w:rPr>
          <w:rFonts w:hint="eastAsia" w:eastAsiaTheme="minorEastAsia"/>
          <w:color w:val="000000" w:themeColor="text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-1007745</wp:posOffset>
            </wp:positionV>
            <wp:extent cx="7294880" cy="10642600"/>
            <wp:effectExtent l="0" t="0" r="7620" b="0"/>
            <wp:wrapNone/>
            <wp:docPr id="3" name="图片 3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488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0066-2020-2021</w:t>
      </w:r>
      <w:bookmarkEnd w:id="0"/>
    </w:p>
    <w:p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218"/>
        <w:gridCol w:w="1190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西安国仪测控股份有限公司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19050481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国防科技工业6114二级计量站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制造中心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电磁流量计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2012408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LDIMC-25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流量检定装置0.2级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西安水表厂计量检定站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2021.3.10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制造中心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IMC-JY032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DN50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1.0%FS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超声波流量计U=0.3%，k=2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2020.5.6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制造中心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涡轮流量计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2101081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LWCMC-25-25WZ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标准表法水流量标准装置U=0.1%，k=2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陕西省能源化工产业计量测试中心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2021.1.19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制造中心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活塞式压力计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YS-600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活塞式压力计0.005级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西安西自仪技术有限公司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2020.07.15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制造中心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090834893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(0-25)mm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陕西黄河集团有限公司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2021.1.18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制造中心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多功能磁粉探伤仪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I4443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CDX-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Ш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磁化电流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U=0.2A，k=2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磁粉探伤机标准装置0.5级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西北工业集团有限公司计量理化二中心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2021.1.19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国防科技工业6114二级计量站，西安水表厂计量检定站，陕西黄河集团有限公司、东莞市帝恩检测有限公司、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陕西省能源化工产业计量测试中心、西安西自仪技术有限公司、</w:t>
            </w:r>
            <w:r>
              <w:rPr>
                <w:rFonts w:hint="eastAsia"/>
                <w:szCs w:val="21"/>
                <w:lang w:val="en-US" w:eastAsia="zh-CN"/>
              </w:rPr>
              <w:t>西北工业集团有限公司计量理化二中心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bookmarkStart w:id="1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2021年04月09日 上午至2021年04月10日 下午 (共2.0天)</w:t>
            </w:r>
            <w:bookmarkEnd w:id="1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6350</wp:posOffset>
                  </wp:positionV>
                  <wp:extent cx="635635" cy="321945"/>
                  <wp:effectExtent l="0" t="0" r="12065" b="825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5F2011"/>
    <w:rsid w:val="38A761DF"/>
    <w:rsid w:val="513253F6"/>
    <w:rsid w:val="61C24A9C"/>
    <w:rsid w:val="6F0279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2021-04-12T07:14:34Z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04AC476DF5324B60B0BB780587E50B16</vt:lpwstr>
  </property>
</Properties>
</file>