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4"/>
        <w:gridCol w:w="1179"/>
        <w:gridCol w:w="6"/>
        <w:gridCol w:w="567"/>
        <w:gridCol w:w="1242"/>
        <w:gridCol w:w="75"/>
        <w:gridCol w:w="101"/>
        <w:gridCol w:w="589"/>
        <w:gridCol w:w="261"/>
        <w:gridCol w:w="4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北京皮赛姆工程科技有限公司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北京市通州区京洲园413号楼1层01-1069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刘娟娟</w:t>
            </w:r>
            <w:bookmarkEnd w:id="2"/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13581807001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101100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高丙帅</w:t>
            </w:r>
            <w:bookmarkStart w:id="17" w:name="_GoBack"/>
            <w:bookmarkEnd w:id="17"/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Lucia_112@sohu.com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0081-2021-QEO</w:t>
            </w:r>
            <w:bookmarkEnd w:id="8"/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O：化工安全领域的管理咨询、技术咨询、工程安全性评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估</w:t>
            </w:r>
            <w:r>
              <w:rPr>
                <w:b w:val="0"/>
                <w:bCs w:val="0"/>
                <w:sz w:val="21"/>
                <w:szCs w:val="21"/>
              </w:rPr>
              <w:t>所涉及场所的相关职业健康安全管理活动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E：化工安全领域的管理咨询、技术咨询、工程安全性评估所涉及场所的相关环境管理活动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Q：化工安全领域的管理咨询、技术咨询、工程安全性评估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O：34.06.00;35.04.02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E：34.06.00;35.04.02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Q：34.06.00;35.04.02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2021年02月05日 上午至2021年02月05日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现场审核于2021年04月20日 上午至2021年04月20日 下午 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0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O:34.06.00,35.04.02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</w:rPr>
              <w:t>Q:34.06.00,35.04.02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0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2021.4.20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2021.4.20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2021.4.20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>工程安全性评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估涉及的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生产和服务提供的控制；标识和可追溯性；产品防护；变更的控制；产</w:t>
            </w:r>
            <w:r>
              <w:rPr>
                <w:rFonts w:hint="eastAsia"/>
                <w:sz w:val="21"/>
                <w:szCs w:val="21"/>
              </w:rPr>
              <w:t>品和服务的放行；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涉及条款：Q8.5.1/8.5.6/8.6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目标；基础设施；运行环境；监视和测量资源；运行的策划和控制；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人员、组织知识；能力；意识；沟通；文件化信息；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外部提供的过程、产品和服务的控制；生产和服务提供的控制；标识和可追溯性；产品防护；变更的控制；产品和服务的放行；不合格输出的控制；环境因素、危险源辨识、风险评价和控制措施的确定；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法律法规、合规义务；运行控制；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Q5.3/6.2/7.1.3/7.1.4/7.1.5/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8.1/8.3/8.4/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6.2/8.1/8.2/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/9.2/10.2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B11A8"/>
    <w:rsid w:val="152865C0"/>
    <w:rsid w:val="584A26F3"/>
    <w:rsid w:val="5B9028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2021-04-19T14:29:09Z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9C509D2DA9C2441AB6743CA6FBB5CD34</vt:lpwstr>
  </property>
</Properties>
</file>