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重庆彬亿科技发展有限公司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0294-2021-Q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冉景洲</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2021年04月08日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2021年04月08日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2021年04月08日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067C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2021-04-05T03:10:20Z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ACA7F807FDF14DD8AC252CC46F9121A4</vt:lpwstr>
  </property>
</Properties>
</file>