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重庆市建新建筑防水材料厂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left="709" w:leftChars="200" w:hanging="289" w:hangingChars="137"/>
              <w:rPr>
                <w:rFonts w:hint="default" w:ascii="宋体" w:hAnsi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查见《法律法规和其他要求清单》中《生产安全事故报告和调查处理条例》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《重庆市市容环境卫生管理条例》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未做到及时更新，不符合ISO45001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：2018标准6.1.3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条款: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组织应保持和保留有关法律法规要求和其他要求的文件化信息，并确保及时更新以反映任何变化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的要求。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6.1.3 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94615</wp:posOffset>
                  </wp:positionV>
                  <wp:extent cx="681355" cy="424180"/>
                  <wp:effectExtent l="0" t="0" r="4445" b="254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3068320</wp:posOffset>
                  </wp:positionH>
                  <wp:positionV relativeFrom="paragraph">
                    <wp:posOffset>137795</wp:posOffset>
                  </wp:positionV>
                  <wp:extent cx="681355" cy="424180"/>
                  <wp:effectExtent l="0" t="0" r="4445" b="254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B96BDD"/>
    <w:rsid w:val="3A8C5F29"/>
    <w:rsid w:val="65623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2021-04-08T02:56:50Z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2B0536BF21D74806ABB5863E374E74FE</vt:lpwstr>
  </property>
</Properties>
</file>