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8058150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0259-2019-O-2021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重庆阳正环保科技股份有限公司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管理者代表及联系人变更：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原管理者代表及联系人：</w:t>
            </w:r>
            <w:bookmarkStart w:id="2" w:name="联系人"/>
            <w:r>
              <w:rPr>
                <w:rFonts w:hint="eastAsia"/>
                <w:b/>
                <w:szCs w:val="21"/>
                <w:lang w:val="en-US" w:eastAsia="zh-CN"/>
              </w:rPr>
              <w:t>周艳茹</w:t>
            </w:r>
            <w:bookmarkEnd w:id="2"/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现管理者代表：杨盛华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现联系人:吴杜娟18723480168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2021.4.6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4" w:name="_GoBack"/>
      <w:bookmarkEnd w:id="4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CC8D9F"/>
    <w:multiLevelType w:val="singleLevel"/>
    <w:tmpl w:val="FFCC8D9F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572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2021-04-06T02:40:36Z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