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 xml:space="preserve">0267-2021-QEO </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眉山金房物业服务有限责任公司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eastAsia="宋体" w:cs="Times New Roman"/>
                <w:b/>
                <w:color w:val="000000" w:themeColor="text1"/>
                <w:kern w:val="2"/>
                <w:sz w:val="20"/>
                <w:szCs w:val="20"/>
                <w:lang w:val="en-US" w:eastAsia="zh-CN" w:bidi="ar-SA"/>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眉山金房物业服务有限责任公司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四川省眉山市东坡区苏祠街道湖滨路108号东方首座10幢1单元1号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620000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眉山市岷江大道中段139号东方银座</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620000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李宇</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15928859357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黄凯</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黄凯</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2020-08-18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行政人事部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项目部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lang w:val="en-US" w:eastAsia="zh-CN"/>
              </w:rPr>
              <w:t>东方银座（小区）物业管理项目</w:t>
            </w:r>
          </w:p>
        </w:tc>
        <w:tc>
          <w:tcPr>
            <w:tcW w:w="3249" w:type="dxa"/>
          </w:tcPr>
          <w:p>
            <w:pPr>
              <w:jc w:val="center"/>
              <w:rPr>
                <w:rFonts w:ascii="宋体" w:hAnsi="宋体"/>
                <w:b/>
                <w:color w:val="000000" w:themeColor="text1"/>
                <w:spacing w:val="-20"/>
                <w:sz w:val="20"/>
                <w:szCs w:val="20"/>
                <w:u w:val="single"/>
              </w:rPr>
            </w:pPr>
            <w:r>
              <w:rPr>
                <w:rFonts w:hint="eastAsia" w:ascii="宋体" w:hAnsi="宋体"/>
                <w:b w:val="0"/>
                <w:bCs/>
                <w:color w:val="000000" w:themeColor="text1"/>
                <w:spacing w:val="-20"/>
                <w:sz w:val="20"/>
                <w:szCs w:val="20"/>
                <w:u w:val="none"/>
                <w:lang w:val="en-US" w:eastAsia="zh-CN"/>
              </w:rPr>
              <w:t>清洁、保洁、绿化、秩序维护、工程维修</w:t>
            </w:r>
          </w:p>
        </w:tc>
        <w:tc>
          <w:tcPr>
            <w:tcW w:w="3555" w:type="dxa"/>
          </w:tcPr>
          <w:p>
            <w:pPr>
              <w:jc w:val="center"/>
              <w:rPr>
                <w:rFonts w:ascii="宋体" w:hAnsi="宋体"/>
                <w:b/>
                <w:color w:val="000000" w:themeColor="text1"/>
                <w:spacing w:val="-20"/>
                <w:sz w:val="20"/>
                <w:szCs w:val="20"/>
                <w:u w:val="single"/>
              </w:rPr>
            </w:pPr>
            <w:r>
              <w:rPr>
                <w:rFonts w:hint="eastAsia"/>
                <w:color w:val="000000"/>
                <w:lang w:val="en-US" w:eastAsia="zh-CN"/>
              </w:rPr>
              <w:t>眉山市东坡区岷江大道中段139号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sz w:val="20"/>
              </w:rPr>
              <w:t>物业管理服务</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sz w:val="20"/>
                <w:szCs w:val="20"/>
              </w:rPr>
              <w:t>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b w:val="0"/>
                <w:bCs w:val="0"/>
                <w:color w:val="auto"/>
                <w:kern w:val="2"/>
                <w:sz w:val="21"/>
                <w:szCs w:val="21"/>
                <w:lang w:val="en-US" w:eastAsia="zh-CN" w:bidi="ar-SA"/>
              </w:rPr>
              <w:t>《物业服务收费管理办法》、《商务楼宇物业管理服务规范》</w:t>
            </w:r>
            <w:r>
              <w:rPr>
                <w:rFonts w:hint="eastAsia"/>
                <w:szCs w:val="21"/>
              </w:rPr>
              <w:t>和合同协议等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18</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ascii="宋体" w:hAnsi="宋体" w:eastAsia="宋体" w:cs="Times New Roman"/>
                <w:b/>
                <w:kern w:val="2"/>
                <w:sz w:val="21"/>
                <w:szCs w:val="21"/>
                <w:lang w:val="en-US" w:eastAsia="zh-CN" w:bidi="ar-SA"/>
              </w:rPr>
            </w:pPr>
            <w:r>
              <w:rPr>
                <w:rFonts w:hint="eastAsia" w:asciiTheme="minorEastAsia" w:hAnsiTheme="minorEastAsia" w:eastAsiaTheme="minorEastAsia" w:cstheme="minorEastAsia"/>
                <w:color w:val="000000"/>
                <w:szCs w:val="21"/>
                <w:lang w:val="en-US" w:eastAsia="zh-CN"/>
              </w:rPr>
              <w:t>眉山金房物业集团有限责任公司成立于2019年9月，属自然人独资企业，注册资金100万元人民币</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szCs w:val="21"/>
                <w:lang w:val="en-US" w:eastAsia="zh-CN"/>
              </w:rPr>
              <w:t>经营地址</w:t>
            </w:r>
            <w:bookmarkStart w:id="22" w:name="生产地址"/>
            <w:r>
              <w:rPr>
                <w:rFonts w:hint="eastAsia" w:asciiTheme="minorEastAsia" w:hAnsiTheme="minorEastAsia" w:eastAsiaTheme="minorEastAsia" w:cstheme="minorEastAsia"/>
                <w:szCs w:val="21"/>
                <w:lang w:val="en-US" w:eastAsia="zh-CN"/>
              </w:rPr>
              <w:t>位于</w:t>
            </w:r>
            <w:r>
              <w:rPr>
                <w:rFonts w:asciiTheme="minorEastAsia" w:hAnsiTheme="minorEastAsia" w:eastAsiaTheme="minorEastAsia"/>
                <w:sz w:val="20"/>
              </w:rPr>
              <w:t>眉山市岷江大道中段139号东方银座</w:t>
            </w:r>
            <w:bookmarkEnd w:id="22"/>
            <w:r>
              <w:rPr>
                <w:rFonts w:hint="eastAsia" w:asciiTheme="minorEastAsia" w:hAnsiTheme="minorEastAsia" w:eastAsiaTheme="minorEastAsia" w:cstheme="minorEastAsia"/>
                <w:color w:val="000000"/>
                <w:szCs w:val="21"/>
                <w:lang w:eastAsia="zh-CN"/>
              </w:rPr>
              <w:t>。</w:t>
            </w:r>
            <w:r>
              <w:rPr>
                <w:rFonts w:hint="eastAsia" w:ascii="宋体" w:hAnsi="宋体"/>
                <w:szCs w:val="21"/>
              </w:rPr>
              <w:t>现有员工</w:t>
            </w:r>
            <w:r>
              <w:rPr>
                <w:rFonts w:hint="eastAsia" w:ascii="宋体" w:hAnsi="宋体"/>
                <w:szCs w:val="21"/>
                <w:lang w:val="en-US" w:eastAsia="zh-CN"/>
              </w:rPr>
              <w:t>44</w:t>
            </w:r>
            <w:r>
              <w:rPr>
                <w:rFonts w:hint="eastAsia" w:ascii="宋体" w:hAnsi="宋体"/>
                <w:szCs w:val="21"/>
              </w:rPr>
              <w:t>人，目前经营情况良好。组织对内外部因素、相关方需求和期望进行了充分的识别，策划和实施有效。确定了体系的边界，基本适用。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276" w:lineRule="auto"/>
              <w:ind w:firstLine="422" w:firstLineChars="200"/>
              <w:rPr>
                <w:rFonts w:hint="eastAsia" w:ascii="宋体" w:hAnsi="宋体"/>
                <w:b/>
                <w:bCs/>
                <w:szCs w:val="21"/>
              </w:rPr>
            </w:pPr>
            <w:r>
              <w:rPr>
                <w:rFonts w:hint="eastAsia" w:ascii="宋体" w:hAnsi="宋体"/>
                <w:b/>
                <w:bCs/>
                <w:szCs w:val="21"/>
              </w:rPr>
              <w:t>与时俱进、争创一流</w:t>
            </w:r>
            <w:r>
              <w:rPr>
                <w:rFonts w:hint="eastAsia" w:ascii="宋体" w:hAnsi="宋体"/>
                <w:b/>
                <w:bCs/>
                <w:szCs w:val="21"/>
                <w:lang w:eastAsia="zh-CN"/>
              </w:rPr>
              <w:t>、</w:t>
            </w:r>
            <w:r>
              <w:rPr>
                <w:rFonts w:hint="eastAsia" w:ascii="宋体" w:hAnsi="宋体"/>
                <w:b/>
                <w:bCs/>
                <w:szCs w:val="21"/>
              </w:rPr>
              <w:t>以人为本、诚信服务</w:t>
            </w:r>
          </w:p>
          <w:p>
            <w:pPr>
              <w:spacing w:line="276" w:lineRule="auto"/>
              <w:ind w:firstLine="422" w:firstLineChars="200"/>
              <w:rPr>
                <w:rFonts w:hint="eastAsia" w:ascii="宋体" w:hAnsi="宋体"/>
                <w:b/>
                <w:bCs/>
                <w:szCs w:val="21"/>
              </w:rPr>
            </w:pPr>
            <w:r>
              <w:rPr>
                <w:rFonts w:hint="eastAsia" w:ascii="宋体" w:hAnsi="宋体"/>
                <w:b/>
                <w:bCs/>
                <w:szCs w:val="21"/>
              </w:rPr>
              <w:t>绿色环保</w:t>
            </w:r>
            <w:r>
              <w:rPr>
                <w:rFonts w:hint="eastAsia" w:ascii="宋体" w:hAnsi="宋体"/>
                <w:b/>
                <w:bCs/>
                <w:szCs w:val="21"/>
                <w:lang w:eastAsia="zh-CN"/>
              </w:rPr>
              <w:t>、</w:t>
            </w:r>
            <w:r>
              <w:rPr>
                <w:rFonts w:hint="eastAsia" w:ascii="宋体" w:hAnsi="宋体"/>
                <w:b/>
                <w:bCs/>
                <w:szCs w:val="21"/>
              </w:rPr>
              <w:t>遵纪守法</w:t>
            </w:r>
            <w:r>
              <w:rPr>
                <w:rFonts w:hint="eastAsia" w:ascii="宋体" w:hAnsi="宋体"/>
                <w:b/>
                <w:bCs/>
                <w:szCs w:val="21"/>
                <w:lang w:eastAsia="zh-CN"/>
              </w:rPr>
              <w:t>、</w:t>
            </w:r>
            <w:r>
              <w:rPr>
                <w:rFonts w:hint="eastAsia" w:ascii="宋体" w:hAnsi="宋体"/>
                <w:b/>
                <w:bCs/>
                <w:szCs w:val="21"/>
              </w:rPr>
              <w:t>污染预防</w:t>
            </w:r>
            <w:r>
              <w:rPr>
                <w:rFonts w:hint="eastAsia" w:ascii="宋体" w:hAnsi="宋体"/>
                <w:b/>
                <w:bCs/>
                <w:szCs w:val="21"/>
                <w:lang w:eastAsia="zh-CN"/>
              </w:rPr>
              <w:t>、</w:t>
            </w:r>
            <w:r>
              <w:rPr>
                <w:rFonts w:hint="eastAsia" w:ascii="宋体" w:hAnsi="宋体"/>
                <w:b/>
                <w:bCs/>
                <w:szCs w:val="21"/>
              </w:rPr>
              <w:t>持续改进</w:t>
            </w:r>
          </w:p>
          <w:p>
            <w:pPr>
              <w:spacing w:line="276" w:lineRule="auto"/>
              <w:ind w:firstLine="422" w:firstLineChars="200"/>
              <w:rPr>
                <w:rFonts w:ascii="宋体" w:hAnsi="宋体" w:eastAsia="宋体" w:cs="Times New Roman"/>
                <w:b/>
                <w:kern w:val="2"/>
                <w:sz w:val="21"/>
                <w:szCs w:val="21"/>
                <w:lang w:val="en-US" w:eastAsia="zh-CN" w:bidi="ar-SA"/>
              </w:rPr>
            </w:pPr>
            <w:r>
              <w:rPr>
                <w:rFonts w:hint="eastAsia" w:ascii="宋体" w:hAnsi="宋体"/>
                <w:b/>
                <w:bCs/>
                <w:szCs w:val="21"/>
              </w:rPr>
              <w:t>保障健康</w:t>
            </w:r>
            <w:r>
              <w:rPr>
                <w:rFonts w:hint="eastAsia" w:ascii="宋体" w:hAnsi="宋体"/>
                <w:b/>
                <w:bCs/>
                <w:szCs w:val="21"/>
                <w:lang w:eastAsia="zh-CN"/>
              </w:rPr>
              <w:t>、</w:t>
            </w:r>
            <w:r>
              <w:rPr>
                <w:rFonts w:hint="eastAsia" w:ascii="宋体" w:hAnsi="宋体"/>
                <w:b/>
                <w:bCs/>
                <w:szCs w:val="21"/>
              </w:rPr>
              <w:t>确保安全</w:t>
            </w:r>
            <w:r>
              <w:rPr>
                <w:rFonts w:hint="eastAsia" w:ascii="宋体" w:hAnsi="宋体"/>
                <w:b/>
                <w:bCs/>
                <w:szCs w:val="21"/>
                <w:lang w:eastAsia="zh-CN"/>
              </w:rPr>
              <w:t>、</w:t>
            </w:r>
            <w:r>
              <w:rPr>
                <w:rFonts w:hint="eastAsia" w:ascii="宋体" w:hAnsi="宋体"/>
                <w:b/>
                <w:bCs/>
                <w:szCs w:val="21"/>
              </w:rPr>
              <w:t>遵守法规</w:t>
            </w:r>
            <w:r>
              <w:rPr>
                <w:rFonts w:hint="eastAsia" w:ascii="宋体" w:hAnsi="宋体"/>
                <w:b/>
                <w:bCs/>
                <w:szCs w:val="21"/>
                <w:lang w:eastAsia="zh-CN"/>
              </w:rPr>
              <w:t>、</w:t>
            </w:r>
            <w:r>
              <w:rPr>
                <w:rFonts w:hint="eastAsia" w:ascii="宋体" w:hAnsi="宋体"/>
                <w:b/>
                <w:bCs/>
                <w:szCs w:val="21"/>
              </w:rPr>
              <w:t>持续改进</w:t>
            </w:r>
            <w:r>
              <w:rPr>
                <w:rFonts w:ascii="宋体" w:hAnsi="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eastAsia="宋体" w:cs="Times New Roman"/>
                <w:b/>
                <w:kern w:val="2"/>
                <w:sz w:val="21"/>
                <w:szCs w:val="21"/>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auto"/>
                <w:sz w:val="21"/>
                <w:szCs w:val="21"/>
              </w:rPr>
              <w:t>合同评审、服务管理过程</w:t>
            </w:r>
            <w:r>
              <w:rPr>
                <w:rFonts w:hint="eastAsia" w:ascii="宋体" w:hAnsi="宋体"/>
                <w:b/>
                <w:color w:val="000000" w:themeColor="text1"/>
                <w:sz w:val="20"/>
                <w:szCs w:val="20"/>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eastAsia="宋体" w:cs="Times New Roman"/>
                <w:b/>
                <w:color w:val="auto"/>
                <w:sz w:val="21"/>
                <w:szCs w:val="21"/>
              </w:rPr>
              <w:t>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leftChars="0" w:hanging="211" w:hangingChars="100"/>
              <w:rPr>
                <w:rFonts w:hint="default" w:ascii="宋体" w:hAnsi="宋体" w:eastAsia="宋体" w:cs="Times New Roman"/>
                <w:b/>
                <w:kern w:val="2"/>
                <w:sz w:val="21"/>
                <w:szCs w:val="21"/>
                <w:lang w:val="en-US" w:eastAsia="zh-CN" w:bidi="ar-SA"/>
              </w:rPr>
            </w:pPr>
            <w:r>
              <w:rPr>
                <w:rFonts w:ascii="宋体" w:hAnsi="宋体"/>
                <w:b/>
                <w:szCs w:val="21"/>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cs="宋体"/>
                <w:bCs/>
                <w:sz w:val="21"/>
                <w:szCs w:val="21"/>
                <w:u w:val="single"/>
              </w:rPr>
              <w:t>公司从事物业管理服务，</w:t>
            </w:r>
            <w:r>
              <w:rPr>
                <w:rFonts w:hint="eastAsia" w:ascii="宋体" w:hAnsi="宋体" w:cs="宋体"/>
                <w:bCs/>
                <w:sz w:val="21"/>
                <w:szCs w:val="21"/>
                <w:u w:val="single"/>
                <w:lang w:val="en-US" w:eastAsia="zh-CN"/>
              </w:rPr>
              <w:t>该</w:t>
            </w:r>
            <w:r>
              <w:rPr>
                <w:rFonts w:hint="eastAsia" w:ascii="宋体" w:hAnsi="宋体" w:cs="宋体"/>
                <w:bCs/>
                <w:sz w:val="21"/>
                <w:szCs w:val="21"/>
                <w:u w:val="single"/>
              </w:rPr>
              <w:t>经营过程并无涉及到设计开发过程，因此《质量管理体系-要求》ISO9001：2015标准的8.3“产品和服务的设计和开发”条款不适用，此条款不会影响组织提供满足顾客和适用法律法规要求的产品的能力或者责任的要求</w:t>
            </w:r>
            <w:r>
              <w:rPr>
                <w:rFonts w:hint="eastAsia" w:ascii="宋体" w:hAnsi="宋体"/>
                <w:sz w:val="21"/>
                <w:szCs w:val="21"/>
                <w:u w:val="single"/>
              </w:rPr>
              <w:t>，基本合理</w:t>
            </w:r>
            <w:r>
              <w:rPr>
                <w:rFonts w:hint="eastAsia" w:ascii="宋体" w:hAnsi="宋体"/>
                <w:b/>
                <w:szCs w:val="21"/>
                <w:u w:val="single"/>
                <w:lang w:val="en-US" w:eastAsia="zh-CN"/>
              </w:rPr>
              <w:t xml:space="preserve"> 。  </w:t>
            </w:r>
            <w:r>
              <w:rPr>
                <w:rFonts w:hint="eastAsia" w:ascii="宋体" w:hAnsi="宋体"/>
                <w:b/>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cs="Times New Roman" w:eastAsiaTheme="minorEastAsia"/>
                <w:b/>
                <w:kern w:val="2"/>
                <w:sz w:val="21"/>
                <w:szCs w:val="21"/>
                <w:lang w:val="en-US" w:eastAsia="zh-CN" w:bidi="ar-SA"/>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3）污水排放</w:t>
            </w:r>
            <w:r>
              <w:rPr>
                <w:rFonts w:hint="eastAsia" w:ascii="宋体" w:hAnsi="宋体" w:cs="宋体"/>
                <w:bCs/>
                <w:iCs/>
                <w:szCs w:val="21"/>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themeColor="text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360" w:lineRule="auto"/>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 xml:space="preserve">质量、环境、职业健康安全目标 </w:t>
            </w:r>
            <w:r>
              <w:rPr>
                <w:rFonts w:hint="eastAsia" w:asciiTheme="minorEastAsia" w:hAnsiTheme="minorEastAsia" w:eastAsiaTheme="minorEastAsia" w:cstheme="minorEastAsia"/>
                <w:szCs w:val="21"/>
                <w:lang w:eastAsia="zh-CN"/>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eastAsia="zh-CN"/>
              </w:rPr>
              <w:t>物业服务</w:t>
            </w:r>
            <w:r>
              <w:rPr>
                <w:rFonts w:hint="eastAsia" w:asciiTheme="minorEastAsia" w:hAnsiTheme="minorEastAsia" w:eastAsiaTheme="minorEastAsia" w:cstheme="minorEastAsia"/>
                <w:szCs w:val="21"/>
              </w:rPr>
              <w:t>合格率</w:t>
            </w:r>
            <w:r>
              <w:rPr>
                <w:rFonts w:hint="default" w:asciiTheme="minorEastAsia" w:hAnsiTheme="minorEastAsia" w:eastAsiaTheme="minorEastAsia" w:cstheme="minorEastAsia"/>
                <w:szCs w:val="21"/>
              </w:rPr>
              <w:t>≥9</w:t>
            </w:r>
            <w:r>
              <w:rPr>
                <w:rFonts w:hint="eastAsia" w:asciiTheme="minorEastAsia" w:hAnsiTheme="minorEastAsia" w:eastAsiaTheme="minorEastAsia" w:cstheme="minorEastAsia"/>
                <w:szCs w:val="21"/>
              </w:rPr>
              <w:t>5</w:t>
            </w:r>
            <w:r>
              <w:rPr>
                <w:rFonts w:hint="default" w:asciiTheme="minorEastAsia" w:hAnsiTheme="minorEastAsia" w:eastAsiaTheme="minorEastAsia" w:cstheme="minorEastAsia"/>
                <w:szCs w:val="21"/>
              </w:rPr>
              <w:t>%</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default" w:asciiTheme="minorEastAsia" w:hAnsiTheme="minorEastAsia" w:eastAsiaTheme="minorEastAsia" w:cstheme="minorEastAsia"/>
                <w:szCs w:val="21"/>
              </w:rPr>
              <w:t>) 业主满意</w:t>
            </w:r>
            <w:r>
              <w:rPr>
                <w:rFonts w:hint="eastAsia" w:asciiTheme="minorEastAsia" w:hAnsiTheme="minorEastAsia" w:eastAsiaTheme="minorEastAsia" w:cstheme="minorEastAsia"/>
                <w:szCs w:val="21"/>
                <w:lang w:val="en-US" w:eastAsia="zh-CN"/>
              </w:rPr>
              <w:t>度</w:t>
            </w:r>
            <w:r>
              <w:rPr>
                <w:rFonts w:hint="default" w:asciiTheme="minorEastAsia" w:hAnsiTheme="minorEastAsia" w:eastAsiaTheme="minorEastAsia" w:cstheme="minorEastAsia"/>
                <w:szCs w:val="21"/>
              </w:rPr>
              <w:t>≥95分</w:t>
            </w:r>
            <w:r>
              <w:rPr>
                <w:rFonts w:hint="eastAsia" w:asciiTheme="minorEastAsia" w:hAnsiTheme="minorEastAsia" w:eastAsiaTheme="minorEastAsia" w:cstheme="minorEastAsia"/>
                <w:szCs w:val="21"/>
              </w:rPr>
              <w:t>；</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default"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固体废弃物分类收集处理率100%</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default"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伤亡事故为0</w:t>
            </w:r>
          </w:p>
          <w:p>
            <w:pPr>
              <w:spacing w:line="360" w:lineRule="auto"/>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cstheme="minorEastAsia"/>
                <w:szCs w:val="21"/>
              </w:rPr>
              <w:t>5</w:t>
            </w:r>
            <w:r>
              <w:rPr>
                <w:rFonts w:hint="default" w:asciiTheme="minorEastAsia" w:hAnsiTheme="minorEastAsia" w:eastAsiaTheme="minorEastAsia" w:cstheme="minorEastAsia"/>
                <w:szCs w:val="21"/>
              </w:rPr>
              <w:t>)</w:t>
            </w:r>
            <w:r>
              <w:rPr>
                <w:rFonts w:hint="eastAsia" w:asciiTheme="minorEastAsia" w:hAnsiTheme="minorEastAsia" w:eastAsiaTheme="minorEastAsia" w:cstheme="minorEastAsia"/>
                <w:szCs w:val="21"/>
              </w:rPr>
              <w:t xml:space="preserve"> 火灾事故</w:t>
            </w:r>
            <w:r>
              <w:rPr>
                <w:rFonts w:hint="eastAsia" w:asciiTheme="minorEastAsia" w:hAnsiTheme="minorEastAsia" w:eastAsiaTheme="minorEastAsia" w:cstheme="minorEastAsia"/>
                <w:szCs w:val="21"/>
                <w:lang w:val="en-US" w:eastAsia="zh-CN"/>
              </w:rPr>
              <w:t>发生次数</w:t>
            </w:r>
            <w:r>
              <w:rPr>
                <w:rFonts w:hint="eastAsia" w:asciiTheme="minorEastAsia" w:hAnsiTheme="minorEastAsia" w:eastAsiaTheme="minorEastAsia" w:cstheme="minorEastAsia"/>
                <w:szCs w:val="21"/>
              </w:rPr>
              <w:t>为0</w:t>
            </w:r>
            <w:r>
              <w:rPr>
                <w:rFonts w:hint="eastAsia" w:ascii="Times New Roman" w:hAnsi="Times New Roman" w:eastAsia="宋体" w:cs="Times New Roman"/>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公司编制了《文件、记录控制程序》并按照申请认证的标准要求，建立并形成了文件化的质量管理体系，体系文件对管理体系各过程进行了识别确定，明确了各要素间的相互关系及其管控要求。公司体系文件于20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w:t>
            </w:r>
            <w:r>
              <w:rPr>
                <w:rFonts w:hint="eastAsia" w:ascii="宋体" w:hAnsi="宋体" w:cs="宋体"/>
                <w:szCs w:val="21"/>
                <w:lang w:val="en-US" w:eastAsia="zh-CN"/>
              </w:rPr>
              <w:t>8</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eastAsia="宋体" w:cs="Times New Roman"/>
                <w:b/>
                <w:kern w:val="2"/>
                <w:sz w:val="21"/>
                <w:szCs w:val="21"/>
                <w:lang w:val="en-US" w:eastAsia="zh-CN" w:bidi="ar-SA"/>
              </w:rPr>
            </w:pPr>
            <w:r>
              <w:rPr>
                <w:rFonts w:hint="eastAsia" w:ascii="宋体" w:hAnsi="宋体" w:eastAsia="宋体" w:cs="宋体"/>
                <w:szCs w:val="21"/>
              </w:rPr>
              <w:t>办公面积</w:t>
            </w:r>
            <w:r>
              <w:rPr>
                <w:rFonts w:hint="eastAsia" w:ascii="宋体" w:hAnsi="宋体" w:eastAsia="宋体" w:cs="宋体"/>
                <w:szCs w:val="21"/>
                <w:lang w:val="en-US" w:eastAsia="zh-CN"/>
              </w:rPr>
              <w:t>400</w:t>
            </w:r>
            <w:r>
              <w:rPr>
                <w:rFonts w:hint="eastAsia" w:ascii="宋体" w:hAnsi="宋体" w:eastAsia="宋体" w:cs="宋体"/>
                <w:szCs w:val="21"/>
              </w:rPr>
              <w:t>平方</w:t>
            </w:r>
            <w:r>
              <w:rPr>
                <w:rFonts w:hint="eastAsia" w:ascii="宋体" w:hAnsi="宋体" w:eastAsia="宋体" w:cs="宋体"/>
                <w:szCs w:val="21"/>
                <w:lang w:val="en-US" w:eastAsia="zh-CN"/>
              </w:rPr>
              <w:t>米</w:t>
            </w:r>
            <w:r>
              <w:rPr>
                <w:rFonts w:hint="eastAsia" w:ascii="宋体" w:hAnsi="宋体" w:eastAsia="宋体" w:cs="宋体"/>
                <w:szCs w:val="21"/>
              </w:rPr>
              <w:t>左右，</w:t>
            </w:r>
            <w:r>
              <w:rPr>
                <w:rFonts w:hint="eastAsia" w:ascii="宋体" w:hAnsi="宋体" w:eastAsia="宋体" w:cs="宋体"/>
                <w:szCs w:val="21"/>
                <w:lang w:val="en-US" w:eastAsia="zh-CN"/>
              </w:rPr>
              <w:t>库房面积30平方米</w:t>
            </w:r>
            <w:r>
              <w:rPr>
                <w:rFonts w:hint="eastAsia" w:ascii="宋体" w:hAnsi="宋体" w:cs="宋体"/>
                <w:szCs w:val="21"/>
                <w:lang w:val="en-US" w:eastAsia="zh-CN"/>
              </w:rPr>
              <w:t>。</w:t>
            </w:r>
            <w:r>
              <w:rPr>
                <w:rFonts w:hint="eastAsia" w:ascii="宋体" w:hAnsi="宋体" w:cs="宋体"/>
                <w:szCs w:val="21"/>
              </w:rPr>
              <w:t>主要生产设备包括</w:t>
            </w:r>
            <w:r>
              <w:rPr>
                <w:rFonts w:hint="eastAsia" w:ascii="宋体" w:hAnsi="宋体" w:cs="宋体"/>
                <w:color w:val="000000"/>
                <w:szCs w:val="21"/>
              </w:rPr>
              <w:t>：</w:t>
            </w:r>
            <w:r>
              <w:rPr>
                <w:rFonts w:hint="eastAsia"/>
              </w:rPr>
              <w:t>办公设备（电脑、打印机、复印机等）、保洁工具（手推式洗地机、垃圾桶、扫帚、拖把）、安保工具(对讲机、巡更棒等)、维修设备（电锤、热熔机、手枪钻、疏通器</w:t>
            </w:r>
            <w:r>
              <w:rPr>
                <w:rFonts w:hint="eastAsia"/>
                <w:lang w:eastAsia="zh-CN"/>
              </w:rPr>
              <w:t>）</w:t>
            </w:r>
            <w:r>
              <w:t>等</w:t>
            </w:r>
            <w:r>
              <w:rPr>
                <w:rFonts w:hint="eastAsia" w:ascii="宋体" w:hAnsi="宋体" w:cs="宋体"/>
                <w:color w:val="000000"/>
                <w:szCs w:val="21"/>
              </w:rPr>
              <w:t>，可以满足</w:t>
            </w:r>
            <w:r>
              <w:rPr>
                <w:rFonts w:hint="eastAsia" w:ascii="宋体" w:hAnsi="宋体"/>
                <w:szCs w:val="21"/>
                <w:lang w:val="de-DE"/>
              </w:rPr>
              <w:t>物业管理服务</w:t>
            </w:r>
            <w:r>
              <w:rPr>
                <w:rFonts w:hint="eastAsia" w:ascii="宋体" w:hAnsi="宋体" w:cs="宋体"/>
                <w:color w:val="000000"/>
                <w:szCs w:val="21"/>
              </w:rPr>
              <w:t>需要。</w:t>
            </w:r>
            <w:r>
              <w:rPr>
                <w:rFonts w:hint="eastAsia" w:ascii="宋体" w:hAnsi="宋体" w:cs="宋体"/>
                <w:color w:val="000000"/>
                <w:szCs w:val="21"/>
                <w:lang w:val="en-US" w:eastAsia="zh-CN"/>
              </w:rPr>
              <w:t>项目部</w:t>
            </w:r>
            <w:r>
              <w:rPr>
                <w:rFonts w:hint="eastAsia" w:ascii="宋体" w:hAnsi="宋体" w:cs="宋体"/>
                <w:szCs w:val="21"/>
              </w:rPr>
              <w:t>对设备按月方式进行点检维护保养，并实施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Cs w:val="21"/>
              </w:rPr>
              <w:t>办公区域内设备布置合理，照明设施齐全，均配备了灭火器、消防栓等设施。目前公司主要为客户提供</w:t>
            </w:r>
            <w:r>
              <w:rPr>
                <w:rFonts w:hint="eastAsia" w:ascii="宋体" w:hAnsi="宋体"/>
                <w:szCs w:val="21"/>
                <w:lang w:val="de-DE"/>
              </w:rPr>
              <w:t>物业管理服务</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eastAsia="宋体" w:cs="Times New Roman"/>
                <w:b/>
                <w:kern w:val="2"/>
                <w:sz w:val="21"/>
                <w:szCs w:val="21"/>
                <w:lang w:val="en-US" w:eastAsia="zh-CN" w:bidi="ar-SA"/>
              </w:rPr>
            </w:pPr>
            <w:r>
              <w:rPr>
                <w:rFonts w:hint="eastAsia"/>
                <w:szCs w:val="21"/>
                <w:lang w:val="en-US" w:eastAsia="zh-CN"/>
              </w:rPr>
              <w:t>保洁、绿化、安保等作业质量</w:t>
            </w:r>
            <w:r>
              <w:rPr>
                <w:rFonts w:hint="eastAsia"/>
                <w:szCs w:val="21"/>
              </w:rPr>
              <w:t>采取人为检查、核对方式进行</w:t>
            </w:r>
            <w:r>
              <w:rPr>
                <w:rFonts w:hint="eastAsia" w:ascii="宋体" w:hAnsi="宋体" w:cs="宋体"/>
                <w:szCs w:val="21"/>
              </w:rPr>
              <w:t>。</w:t>
            </w:r>
            <w:r>
              <w:rPr>
                <w:rFonts w:hint="eastAsia"/>
                <w:lang w:val="en-US" w:eastAsia="zh-CN"/>
              </w:rPr>
              <w:t>工程维修服务配置有</w:t>
            </w:r>
            <w:r>
              <w:rPr>
                <w:rFonts w:hint="eastAsia"/>
              </w:rPr>
              <w:t>万用表</w:t>
            </w:r>
            <w:r>
              <w:rPr>
                <w:rFonts w:hint="eastAsia"/>
                <w:lang w:eastAsia="zh-CN"/>
              </w:rPr>
              <w:t>、</w:t>
            </w:r>
            <w:r>
              <w:rPr>
                <w:rFonts w:hint="eastAsia"/>
                <w:lang w:val="en-US" w:eastAsia="zh-CN"/>
              </w:rPr>
              <w:t>绝缘电阻测试仪，提供有</w:t>
            </w:r>
            <w:r>
              <w:rPr>
                <w:rFonts w:hint="eastAsia"/>
              </w:rPr>
              <w:t>万用表</w:t>
            </w:r>
            <w:r>
              <w:rPr>
                <w:rFonts w:hint="eastAsia"/>
                <w:lang w:eastAsia="zh-CN"/>
              </w:rPr>
              <w:t>、</w:t>
            </w:r>
            <w:r>
              <w:rPr>
                <w:rFonts w:hint="eastAsia"/>
                <w:lang w:val="en-US" w:eastAsia="zh-CN"/>
              </w:rPr>
              <w:t>绝缘电阻测试仪</w:t>
            </w:r>
            <w:bookmarkStart w:id="24" w:name="_GoBack"/>
            <w:bookmarkEnd w:id="24"/>
            <w:r>
              <w:rPr>
                <w:rFonts w:hint="eastAsia"/>
                <w:lang w:val="en-US" w:eastAsia="zh-CN"/>
              </w:rPr>
              <w:t>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3）污水排放</w:t>
            </w:r>
            <w:r>
              <w:rPr>
                <w:rFonts w:hint="eastAsia" w:asciiTheme="minorEastAsia" w:hAnsiTheme="minorEastAsia" w:eastAsiaTheme="minorEastAsia"/>
                <w:bCs/>
                <w:iCs/>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宋体" w:hAnsi="宋体" w:eastAsia="宋体" w:cs="Times New Roman"/>
                <w:szCs w:val="21"/>
                <w:lang w:val="en-US" w:eastAsia="zh-CN"/>
              </w:rPr>
              <w:t>1）</w:t>
            </w:r>
            <w:r>
              <w:rPr>
                <w:rFonts w:hint="eastAsia" w:ascii="宋体" w:hAnsi="宋体" w:eastAsia="宋体" w:cs="Times New Roman"/>
                <w:szCs w:val="21"/>
              </w:rPr>
              <w:t>触电</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潜在火灾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人身伤害；</w:t>
            </w:r>
            <w:r>
              <w:rPr>
                <w:rFonts w:hint="eastAsia" w:ascii="宋体" w:hAnsi="宋体" w:eastAsia="宋体" w:cs="Times New Roman"/>
                <w:szCs w:val="21"/>
                <w:lang w:val="en-US" w:eastAsia="zh-CN"/>
              </w:rPr>
              <w:t>4）机械伤害</w:t>
            </w:r>
            <w:r>
              <w:rPr>
                <w:rFonts w:hint="eastAsia" w:ascii="宋体" w:hAnsi="宋体"/>
                <w:color w:val="000000"/>
                <w:szCs w:val="21"/>
              </w:rPr>
              <w:t>等</w:t>
            </w:r>
            <w:r>
              <w:rPr>
                <w:rFonts w:hint="eastAsia" w:asciiTheme="minorEastAsia" w:hAnsiTheme="minorEastAsia" w:eastAsiaTheme="minorEastAsia"/>
                <w:bCs/>
                <w:iCs/>
                <w:szCs w:val="21"/>
              </w:rPr>
              <w:t>，与之相关的过程有服务、信息处理过程，针对不可接受风险制定了管理方案。控制措施实施有效。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eastAsia="宋体" w:cs="Times New Roman"/>
                <w:b/>
                <w:kern w:val="2"/>
                <w:sz w:val="21"/>
                <w:szCs w:val="21"/>
                <w:lang w:val="en-US" w:eastAsia="zh-CN" w:bidi="ar-SA"/>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w:t>
            </w:r>
            <w:r>
              <w:rPr>
                <w:rFonts w:hint="eastAsia" w:ascii="宋体" w:hAnsi="宋体" w:cs="宋体"/>
                <w:color w:val="000000"/>
                <w:szCs w:val="21"/>
                <w:highlight w:val="none"/>
              </w:rPr>
              <w:t>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auto"/>
                <w:szCs w:val="21"/>
              </w:rPr>
              <w:t>，2020年</w:t>
            </w:r>
            <w:r>
              <w:rPr>
                <w:rFonts w:hint="eastAsia" w:ascii="宋体" w:hAnsi="宋体" w:cs="宋体"/>
                <w:color w:val="auto"/>
                <w:szCs w:val="21"/>
                <w:lang w:val="en-US" w:eastAsia="zh-CN"/>
              </w:rPr>
              <w:t>11</w:t>
            </w:r>
            <w:r>
              <w:rPr>
                <w:rFonts w:hint="eastAsia" w:ascii="宋体" w:hAnsi="宋体" w:cs="宋体"/>
                <w:color w:val="auto"/>
                <w:szCs w:val="21"/>
              </w:rPr>
              <w:t>月实施，满意度评价9</w:t>
            </w:r>
            <w:r>
              <w:rPr>
                <w:rFonts w:hint="eastAsia" w:ascii="宋体" w:hAnsi="宋体" w:cs="宋体"/>
                <w:color w:val="auto"/>
                <w:szCs w:val="21"/>
                <w:lang w:val="en-US" w:eastAsia="zh-CN"/>
              </w:rPr>
              <w:t>6</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rPr>
              <w:t>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20日-21</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szCs w:val="21"/>
              </w:rPr>
              <w:t>涉及</w:t>
            </w:r>
            <w:r>
              <w:rPr>
                <w:rFonts w:hint="eastAsia" w:ascii="宋体" w:hAnsi="宋体"/>
                <w:szCs w:val="21"/>
                <w:lang w:val="en-US" w:eastAsia="zh-CN"/>
              </w:rPr>
              <w:t>行政人事部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条款</w:t>
            </w:r>
            <w:r>
              <w:rPr>
                <w:rFonts w:hint="eastAsia" w:ascii="宋体" w:hAnsi="宋体" w:eastAsia="宋体" w:cs="宋体"/>
                <w:sz w:val="21"/>
                <w:szCs w:val="21"/>
              </w:rPr>
              <w:t>，公司的“消防器材检查表”规定每月初（每月4日前）按检查项事项进行检点，但未提供20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月对办公区域灭火器进行消防器材检查的证据</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ascii="宋体" w:hAnsi="宋体" w:eastAsia="宋体" w:cs="Times New Roman"/>
                <w:b/>
                <w:kern w:val="2"/>
                <w:sz w:val="21"/>
                <w:szCs w:val="21"/>
                <w:lang w:val="en-US" w:eastAsia="zh-CN" w:bidi="ar-SA"/>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ascii="宋体" w:hAnsi="宋体" w:eastAsia="宋体" w:cs="Times New Roman"/>
                <w:b/>
                <w:kern w:val="2"/>
                <w:sz w:val="21"/>
                <w:szCs w:val="21"/>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eastAsia="宋体" w:cs="Times New Roman"/>
                <w:b/>
                <w:kern w:val="2"/>
                <w:sz w:val="21"/>
                <w:szCs w:val="21"/>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b/>
          <w:color w:val="000000" w:themeColor="text1"/>
          <w:highlight w:val="none"/>
          <w:lang w:val="en-US" w:eastAsia="zh-CN"/>
        </w:rPr>
        <w:t>项目</w:t>
      </w:r>
      <w:r>
        <w:rPr>
          <w:rFonts w:hint="eastAsia"/>
          <w:b/>
          <w:color w:val="000000" w:themeColor="text1"/>
          <w:highlight w:val="none"/>
        </w:rPr>
        <w:t>部门</w:t>
      </w:r>
      <w:r>
        <w:rPr>
          <w:rFonts w:hint="eastAsia"/>
          <w:b/>
          <w:color w:val="000000" w:themeColor="text1"/>
          <w:highlight w:val="none"/>
          <w:lang w:val="en-US" w:eastAsia="zh-CN"/>
        </w:rPr>
        <w:t>Q8.5.1/S8.1.1 b</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0080" w:type="dxa"/>
            <w:vAlign w:val="top"/>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szCs w:val="20"/>
              </w:rPr>
              <w:t>QMS:</w:t>
            </w:r>
            <w:r>
              <w:rPr>
                <w:rFonts w:hint="eastAsia" w:ascii="宋体" w:hAnsi="宋体"/>
                <w:szCs w:val="21"/>
              </w:rPr>
              <w:t>物业管理服务。</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rPr>
              <w:t>物业管理服务所涉及的相关环境管理活动。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物业管理服务所涉及的相关职业健康安全管理活动。</w:t>
            </w:r>
          </w:p>
          <w:p>
            <w:pPr>
              <w:rPr>
                <w:rFonts w:ascii="Times New Roman" w:hAnsi="Times New Roman" w:eastAsia="宋体" w:cs="Times New Roman"/>
                <w:b/>
                <w:color w:val="000000" w:themeColor="text1"/>
                <w:spacing w:val="-1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62336" behindDoc="0" locked="0" layoutInCell="1" allowOverlap="1">
            <wp:simplePos x="0" y="0"/>
            <wp:positionH relativeFrom="page">
              <wp:posOffset>2701925</wp:posOffset>
            </wp:positionH>
            <wp:positionV relativeFrom="page">
              <wp:posOffset>1372870</wp:posOffset>
            </wp:positionV>
            <wp:extent cx="817880" cy="509270"/>
            <wp:effectExtent l="0" t="0" r="5080" b="889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817880" cy="50927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1510665</wp:posOffset>
            </wp:positionH>
            <wp:positionV relativeFrom="paragraph">
              <wp:posOffset>135255</wp:posOffset>
            </wp:positionV>
            <wp:extent cx="972820" cy="330200"/>
            <wp:effectExtent l="0" t="0" r="2540" b="508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972820" cy="330200"/>
                    </a:xfrm>
                    <a:prstGeom prst="rect">
                      <a:avLst/>
                    </a:prstGeom>
                  </pic:spPr>
                </pic:pic>
              </a:graphicData>
            </a:graphic>
          </wp:anchor>
        </w:drawing>
      </w:r>
      <w:r>
        <w:rPr>
          <w:rFonts w:hint="eastAsia" w:eastAsia="宋体"/>
          <w:lang w:eastAsia="zh-CN"/>
        </w:rPr>
        <w:drawing>
          <wp:anchor distT="0" distB="0" distL="114300" distR="114300" simplePos="0" relativeHeight="251664384" behindDoc="0" locked="0" layoutInCell="1" allowOverlap="1">
            <wp:simplePos x="0" y="0"/>
            <wp:positionH relativeFrom="column">
              <wp:posOffset>2559685</wp:posOffset>
            </wp:positionH>
            <wp:positionV relativeFrom="paragraph">
              <wp:posOffset>149860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665408" behindDoc="0" locked="0" layoutInCell="1" allowOverlap="1">
            <wp:simplePos x="0" y="0"/>
            <wp:positionH relativeFrom="page">
              <wp:posOffset>1840865</wp:posOffset>
            </wp:positionH>
            <wp:positionV relativeFrom="page">
              <wp:posOffset>5551805</wp:posOffset>
            </wp:positionV>
            <wp:extent cx="720090" cy="448310"/>
            <wp:effectExtent l="0" t="0" r="11430" b="8890"/>
            <wp:wrapNone/>
            <wp:docPr id="6"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20-01-09 10.59.53_副本.jpg"/>
                    <pic:cNvPicPr>
                      <a:picLocks noChangeAspect="1"/>
                    </pic:cNvPicPr>
                  </pic:nvPicPr>
                  <pic:blipFill>
                    <a:blip r:embed="rId6"/>
                    <a:stretch>
                      <a:fillRect/>
                    </a:stretch>
                  </pic:blipFill>
                  <pic:spPr>
                    <a:xfrm>
                      <a:off x="0" y="0"/>
                      <a:ext cx="720090" cy="448310"/>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日期:</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 xml:space="preserve"> 4 </w:t>
      </w:r>
      <w:r>
        <w:rPr>
          <w:rFonts w:hint="eastAsia"/>
          <w:b/>
          <w:color w:val="000000" w:themeColor="text1"/>
          <w:szCs w:val="21"/>
          <w:highlight w:val="none"/>
        </w:rPr>
        <w:t>月</w:t>
      </w:r>
      <w:r>
        <w:rPr>
          <w:rFonts w:hint="eastAsia"/>
          <w:b/>
          <w:color w:val="000000" w:themeColor="text1"/>
          <w:szCs w:val="21"/>
          <w:highlight w:val="none"/>
          <w:lang w:val="en-US" w:eastAsia="zh-CN"/>
        </w:rPr>
        <w:t xml:space="preserve">13 </w:t>
      </w:r>
      <w:r>
        <w:rPr>
          <w:rFonts w:hint="eastAsia"/>
          <w:b/>
          <w:color w:val="000000" w:themeColor="text1"/>
          <w:szCs w:val="2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3"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3"/>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FB0947"/>
    <w:rsid w:val="16D26CD2"/>
    <w:rsid w:val="29EF30D4"/>
    <w:rsid w:val="2A326735"/>
    <w:rsid w:val="2CAA2C8A"/>
    <w:rsid w:val="4BA04644"/>
    <w:rsid w:val="5C56264E"/>
    <w:rsid w:val="6109073C"/>
    <w:rsid w:val="6A45612F"/>
    <w:rsid w:val="749901F9"/>
    <w:rsid w:val="7C537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2021-04-13T14:28:25Z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2EE2DC72C4374F87AADCDA6C6FA4EA31</vt:lpwstr>
  </property>
</Properties>
</file>