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 xml:space="preserve">0267-2021-QEO </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眉山金房物业服务有限责任公司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杨珍全</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tc>
        <w:tc>
          <w:tcPr>
            <w:tcW w:w="2179" w:type="dxa"/>
            <w:gridSpan w:val="2"/>
            <w:vAlign w:val="center"/>
          </w:tcPr>
          <w:p>
            <w:pPr>
              <w:spacing w:line="240" w:lineRule="exact"/>
              <w:jc w:val="center"/>
              <w:rPr>
                <w:b/>
                <w:color w:val="000000"/>
                <w:sz w:val="20"/>
                <w:szCs w:val="20"/>
              </w:rPr>
            </w:pPr>
            <w:r>
              <w:rPr>
                <w:b/>
                <w:color w:val="000000"/>
                <w:sz w:val="20"/>
                <w:szCs w:val="20"/>
              </w:rPr>
              <w:t>Q:35.15.00</w:t>
            </w:r>
          </w:p>
          <w:p>
            <w:pPr>
              <w:spacing w:line="240" w:lineRule="exact"/>
              <w:jc w:val="center"/>
              <w:rPr>
                <w:b/>
                <w:color w:val="000000"/>
                <w:sz w:val="20"/>
                <w:szCs w:val="20"/>
              </w:rPr>
            </w:pPr>
            <w:r>
              <w:rPr>
                <w:b/>
                <w:color w:val="000000"/>
                <w:sz w:val="20"/>
                <w:szCs w:val="20"/>
              </w:rPr>
              <w:t>E:35.15.00</w:t>
            </w:r>
          </w:p>
          <w:p>
            <w:pPr>
              <w:spacing w:line="240" w:lineRule="exact"/>
              <w:jc w:val="center"/>
              <w:rPr>
                <w:b/>
                <w:color w:val="000000"/>
                <w:sz w:val="20"/>
                <w:szCs w:val="20"/>
              </w:rPr>
            </w:pPr>
            <w:r>
              <w:rPr>
                <w:b/>
                <w:color w:val="000000"/>
                <w:sz w:val="20"/>
                <w:szCs w:val="20"/>
              </w:rPr>
              <w:t>O:35.15.00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张心</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E:实习审核员</w:t>
            </w:r>
          </w:p>
        </w:tc>
        <w:tc>
          <w:tcPr>
            <w:tcW w:w="2179" w:type="dxa"/>
            <w:gridSpan w:val="2"/>
            <w:vAlign w:val="center"/>
          </w:tcPr>
          <w:p>
            <w:pPr>
              <w:spacing w:line="240" w:lineRule="exact"/>
              <w:jc w:val="center"/>
              <w:rPr>
                <w:b/>
                <w:color w:val="000000"/>
                <w:sz w:val="20"/>
                <w:szCs w:val="20"/>
              </w:rPr>
            </w:pPr>
            <w:r>
              <w:rPr>
                <w:b/>
                <w:color w:val="000000"/>
                <w:sz w:val="20"/>
                <w:szCs w:val="20"/>
              </w:rPr>
              <w:t>E:35.15.00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冉景洲</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Q:审核员</w:t>
            </w:r>
          </w:p>
          <w:p>
            <w:pPr>
              <w:spacing w:line="240" w:lineRule="exact"/>
              <w:jc w:val="center"/>
              <w:rPr>
                <w:b/>
                <w:color w:val="000000"/>
                <w:sz w:val="20"/>
                <w:szCs w:val="20"/>
              </w:rPr>
            </w:pPr>
            <w:r>
              <w:rPr>
                <w:b/>
                <w:color w:val="000000"/>
                <w:sz w:val="20"/>
                <w:szCs w:val="20"/>
              </w:rPr>
              <w:t>E:审核员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质量管理体系,环境管理体系,职业健康安全管理体系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hint="eastAsia" w:ascii="宋体" w:hAnsi="宋体"/>
          <w:b/>
          <w:color w:val="000000"/>
          <w:sz w:val="20"/>
          <w:szCs w:val="20"/>
          <w:lang w:val="en-US" w:eastAsia="zh-CN"/>
        </w:rPr>
        <w:t>ISO45001</w:t>
      </w:r>
      <w:r>
        <w:rPr>
          <w:rFonts w:ascii="宋体" w:hAnsi="宋体"/>
          <w:b/>
          <w:color w:val="000000"/>
          <w:sz w:val="20"/>
          <w:szCs w:val="20"/>
          <w:lang w:val="de-DE"/>
        </w:rPr>
        <w:t>-</w:t>
      </w:r>
      <w:r>
        <w:rPr>
          <w:rFonts w:hint="eastAsia" w:ascii="宋体" w:hAnsi="宋体"/>
          <w:b/>
          <w:color w:val="000000"/>
          <w:sz w:val="20"/>
          <w:szCs w:val="20"/>
          <w:lang w:val="en-US" w:eastAsia="zh-CN"/>
        </w:rPr>
        <w:t>2018</w:t>
      </w:r>
      <w:r>
        <w:rPr>
          <w:rFonts w:hint="eastAsia" w:ascii="宋体" w:hAnsi="宋体"/>
          <w:b/>
          <w:color w:val="000000"/>
          <w:sz w:val="20"/>
          <w:szCs w:val="20"/>
          <w:lang w:val="de-DE"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眉山金房物业服务有限责任公司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四川省眉山市东坡区苏祠街道湖滨路108号东方首座10幢1单元1号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620000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眉山市岷江大道中段139号东方银座</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620000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李宇</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15928859357</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黄凯</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李宇</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499491587@qq.com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2020年8月18日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Q：物业管理服务</w:t>
            </w:r>
          </w:p>
          <w:p>
            <w:pPr>
              <w:spacing w:line="400" w:lineRule="exact"/>
              <w:rPr>
                <w:rFonts w:ascii="宋体" w:hAnsi="宋体"/>
                <w:b/>
                <w:color w:val="000000"/>
                <w:sz w:val="20"/>
                <w:szCs w:val="20"/>
              </w:rPr>
            </w:pPr>
            <w:r>
              <w:rPr>
                <w:rFonts w:ascii="宋体" w:hAnsi="宋体"/>
                <w:b/>
                <w:color w:val="000000"/>
                <w:sz w:val="20"/>
                <w:szCs w:val="20"/>
              </w:rPr>
              <w:t>E：物业管理服务所涉及场所的相关环境管理活动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O：物业管理服务所涉及场所的相关职业健康安全管理活动</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Q：35.15.00</w:t>
            </w:r>
          </w:p>
          <w:p>
            <w:pPr>
              <w:spacing w:line="280" w:lineRule="exact"/>
              <w:rPr>
                <w:rFonts w:ascii="宋体"/>
                <w:b/>
                <w:color w:val="000000"/>
                <w:sz w:val="20"/>
                <w:szCs w:val="20"/>
              </w:rPr>
            </w:pPr>
            <w:r>
              <w:rPr>
                <w:rFonts w:ascii="宋体"/>
                <w:b/>
                <w:color w:val="000000"/>
                <w:sz w:val="20"/>
                <w:szCs w:val="20"/>
              </w:rPr>
              <w:t>E：35.15.00</w:t>
            </w:r>
          </w:p>
          <w:p>
            <w:pPr>
              <w:spacing w:line="280" w:lineRule="exact"/>
              <w:rPr>
                <w:rFonts w:ascii="宋体"/>
                <w:b/>
                <w:color w:val="000000"/>
                <w:sz w:val="20"/>
                <w:szCs w:val="20"/>
              </w:rPr>
            </w:pPr>
            <w:r>
              <w:rPr>
                <w:rFonts w:ascii="宋体"/>
                <w:b/>
                <w:color w:val="000000"/>
                <w:sz w:val="20"/>
                <w:szCs w:val="20"/>
              </w:rPr>
              <w:t>O：35.15.00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91" w:firstLineChars="148"/>
        <w:rPr>
          <w:rFonts w:ascii="宋体"/>
          <w:b/>
          <w:color w:val="000000"/>
          <w:sz w:val="20"/>
          <w:szCs w:val="20"/>
        </w:rPr>
      </w:pPr>
      <w:r>
        <w:rPr>
          <w:rFonts w:hint="eastAsia" w:ascii="宋体" w:hAnsi="宋体"/>
          <w:b/>
          <w:color w:val="000000"/>
          <w:spacing w:val="-2"/>
          <w:sz w:val="20"/>
          <w:szCs w:val="20"/>
          <w:lang w:eastAsia="zh-CN"/>
        </w:rPr>
        <w:t>■</w:t>
      </w:r>
      <w:r>
        <w:rPr>
          <w:rFonts w:hint="eastAsia" w:ascii="宋体" w:hAnsi="宋体"/>
          <w:b/>
          <w:color w:val="000000"/>
          <w:spacing w:val="-2"/>
          <w:sz w:val="20"/>
          <w:szCs w:val="20"/>
        </w:rPr>
        <w:t>文件评审</w:t>
      </w:r>
      <w:r>
        <w:rPr>
          <w:rFonts w:hint="eastAsia" w:ascii="宋体" w:hAnsi="宋体"/>
          <w:b/>
          <w:color w:val="000000"/>
          <w:spacing w:val="-2"/>
          <w:sz w:val="20"/>
          <w:szCs w:val="20"/>
          <w:lang w:val="en-US" w:eastAsia="zh-CN"/>
        </w:rPr>
        <w:t>未</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评审的文件有管理手册、程序文件、内部审核、管理评审、合规性报告等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行政人事部、项目部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场所：办公场所、项目现场</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14"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■是</w:t>
            </w:r>
          </w:p>
        </w:tc>
        <w:tc>
          <w:tcPr>
            <w:tcW w:w="1280" w:type="dxa"/>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hAnsi="Times New Roman" w:eastAsia="宋体" w:cs="Times New Roman"/>
                <w:color w:val="00000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vAlign w:val="top"/>
          </w:tcPr>
          <w:p>
            <w:pPr>
              <w:rPr>
                <w:rFonts w:ascii="宋体" w:hAnsi="Times New Roman" w:eastAsia="宋体" w:cs="Times New Roman"/>
                <w:color w:val="000000"/>
                <w:spacing w:val="-10"/>
                <w:kern w:val="2"/>
                <w:sz w:val="20"/>
                <w:szCs w:val="20"/>
                <w:lang w:val="en-US" w:eastAsia="zh-CN" w:bidi="ar-SA"/>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szCs w:val="21"/>
              </w:rPr>
              <w:t>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行政人事部、项目部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行政人事部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项目部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行政人事部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行政人事部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r>
              <w:rPr>
                <w:rFonts w:hint="eastAsia" w:ascii="宋体" w:hAnsi="宋体"/>
                <w:color w:val="000000"/>
                <w:sz w:val="20"/>
                <w:szCs w:val="20"/>
                <w:lang w:val="en-US" w:eastAsia="zh-CN"/>
              </w:rPr>
              <w:t>1个</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default" w:ascii="宋体" w:eastAsia="宋体"/>
                <w:color w:val="000000"/>
                <w:sz w:val="20"/>
                <w:szCs w:val="20"/>
                <w:lang w:val="en-US" w:eastAsia="zh-CN"/>
              </w:rPr>
            </w:pPr>
            <w:r>
              <w:rPr>
                <w:rFonts w:hint="eastAsia" w:ascii="宋体"/>
                <w:color w:val="000000"/>
                <w:sz w:val="20"/>
                <w:szCs w:val="20"/>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眉山市岷江大道中段139号东方银座</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hAnsi="Times New Roman" w:eastAsia="宋体" w:cs="Times New Roman"/>
                <w:color w:val="000000"/>
                <w:spacing w:val="-10"/>
                <w:kern w:val="2"/>
                <w:sz w:val="20"/>
                <w:szCs w:val="20"/>
                <w:lang w:val="en-US" w:eastAsia="zh-CN" w:bidi="ar-SA"/>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eastAsia="宋体" w:cs="Times New Roman"/>
                <w:b w:val="0"/>
                <w:bCs w:val="0"/>
                <w:color w:val="auto"/>
                <w:kern w:val="2"/>
                <w:sz w:val="21"/>
                <w:szCs w:val="21"/>
                <w:lang w:val="en-US" w:eastAsia="zh-CN" w:bidi="ar-SA"/>
              </w:rPr>
              <w:t>《物业服务收费管理办法》、《商务楼宇物业管理服务规范》</w:t>
            </w:r>
            <w:r>
              <w:rPr>
                <w:rFonts w:hint="eastAsia" w:ascii="宋体" w:hAnsi="宋体" w:cs="Times New Roman"/>
                <w:b w:val="0"/>
                <w:bCs w:val="0"/>
                <w:color w:val="auto"/>
                <w:kern w:val="2"/>
                <w:sz w:val="21"/>
                <w:szCs w:val="21"/>
                <w:lang w:val="en-US" w:eastAsia="zh-CN" w:bidi="ar-SA"/>
              </w:rPr>
              <w:t>、</w:t>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环境执行标准：</w:t>
            </w:r>
            <w:r>
              <w:rPr>
                <w:rFonts w:hint="eastAsia" w:ascii="宋体" w:hAnsi="宋体" w:eastAsia="宋体" w:cs="Times New Roman"/>
                <w:b w:val="0"/>
                <w:bCs w:val="0"/>
                <w:color w:val="auto"/>
                <w:kern w:val="2"/>
                <w:sz w:val="21"/>
                <w:szCs w:val="21"/>
                <w:lang w:val="en-US" w:eastAsia="zh-CN" w:bidi="ar-SA"/>
              </w:rPr>
              <w:t>污水排入城镇下水道水质标准（GB/T 31962-2015）、大气污染物综合排放标准（GB 16297-1996）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spacing w:line="400" w:lineRule="exact"/>
              <w:rPr>
                <w:rFonts w:ascii="宋体" w:hAnsi="Times New Roman" w:eastAsia="宋体" w:cs="Times New Roman"/>
                <w:color w:val="000000"/>
                <w:kern w:val="2"/>
                <w:sz w:val="20"/>
                <w:szCs w:val="20"/>
                <w:lang w:val="en-US" w:eastAsia="zh-CN" w:bidi="ar-SA"/>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vAlign w:val="top"/>
          </w:tcPr>
          <w:p>
            <w:pPr>
              <w:rPr>
                <w:rFonts w:ascii="宋体" w:hAnsi="Times New Roman" w:eastAsia="宋体" w:cs="Times New Roman"/>
                <w:color w:val="000000"/>
                <w:kern w:val="2"/>
                <w:sz w:val="20"/>
                <w:szCs w:val="20"/>
                <w:lang w:val="en-US" w:eastAsia="zh-CN" w:bidi="ar-SA"/>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r>
              <w:rPr>
                <w:rFonts w:hint="eastAsia" w:ascii="宋体" w:hAnsi="宋体"/>
                <w:color w:val="auto"/>
                <w:szCs w:val="21"/>
              </w:rPr>
              <w:t>收集招标信息—评标（合同评审）--签订合同--物业交接—提供物业管理服务—物业管理服务管理检查评价—持续改进。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物业服务过程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服务作业指导书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物业服务过程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color w:val="00000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eastAsia="zh-CN"/>
              </w:rPr>
              <w:t>化粪池清掏、电梯维保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r>
              <w:rPr>
                <w:rFonts w:hint="eastAsia"/>
              </w:rPr>
              <w:t>办公设备（电脑、打印机、复印机等）、保洁工具（手推式洗地机、垃圾桶、扫帚、拖把）、安保工具(对讲机、巡更棒等)、维修设备（电锤、热熔机、手枪钻、疏通器</w:t>
            </w:r>
            <w:r>
              <w:rPr>
                <w:rFonts w:hint="eastAsia"/>
                <w:lang w:eastAsia="zh-CN"/>
              </w:rPr>
              <w:t>）</w:t>
            </w: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highlight w:val="none"/>
                <w:lang w:val="en-US" w:eastAsia="zh-CN"/>
              </w:rPr>
            </w:pPr>
            <w:r>
              <w:rPr>
                <w:rFonts w:hint="eastAsia" w:ascii="宋体"/>
                <w:color w:val="000000"/>
                <w:sz w:val="20"/>
                <w:szCs w:val="20"/>
                <w:highlight w:val="none"/>
              </w:rPr>
              <w:t>监视和测量设备（请简述主要监视和测量设备）：</w:t>
            </w:r>
            <w:r>
              <w:rPr>
                <w:rFonts w:hint="eastAsia"/>
              </w:rPr>
              <w:t>万用表</w:t>
            </w:r>
            <w:r>
              <w:rPr>
                <w:rFonts w:hint="eastAsia"/>
                <w:lang w:eastAsia="zh-CN"/>
              </w:rPr>
              <w:t>、</w:t>
            </w:r>
            <w:r>
              <w:rPr>
                <w:rFonts w:hint="eastAsia"/>
                <w:lang w:val="en-US" w:eastAsia="zh-CN"/>
              </w:rPr>
              <w:t>绝缘电阻测试仪各</w:t>
            </w:r>
            <w:r>
              <w:rPr>
                <w:rFonts w:hint="eastAsia" w:ascii="宋体"/>
                <w:color w:val="000000"/>
                <w:sz w:val="20"/>
                <w:szCs w:val="20"/>
                <w:highlight w:val="none"/>
                <w:lang w:val="en-US" w:eastAsia="zh-CN"/>
              </w:rPr>
              <w:t>1台</w:t>
            </w:r>
            <w:bookmarkStart w:id="25" w:name="_GoBack"/>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highlight w:val="none"/>
              </w:rPr>
            </w:pPr>
            <w:r>
              <w:rPr>
                <w:rFonts w:hint="eastAsia" w:ascii="宋体"/>
                <w:color w:val="000000"/>
                <w:sz w:val="20"/>
                <w:szCs w:val="20"/>
                <w:highlight w:val="none"/>
              </w:rPr>
              <w:t>检测设备是否满足要求</w:t>
            </w:r>
            <w:r>
              <w:rPr>
                <w:rFonts w:hint="eastAsia" w:ascii="宋体"/>
                <w:color w:val="000000"/>
                <w:sz w:val="20"/>
                <w:szCs w:val="20"/>
                <w:highlight w:val="none"/>
                <w:lang w:eastAsia="zh-CN"/>
              </w:rPr>
              <w:t>■</w:t>
            </w:r>
            <w:r>
              <w:rPr>
                <w:rFonts w:hint="eastAsia" w:ascii="宋体"/>
                <w:color w:val="000000"/>
                <w:sz w:val="20"/>
                <w:szCs w:val="20"/>
                <w:highlight w:val="none"/>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hint="eastAsia" w:ascii="宋体" w:eastAsia="宋体"/>
                <w:color w:val="000000"/>
                <w:sz w:val="20"/>
                <w:szCs w:val="20"/>
                <w:lang w:val="en-US" w:eastAsia="zh-CN"/>
              </w:rPr>
            </w:pP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重要环境因素有：</w:t>
            </w:r>
            <w:r>
              <w:rPr>
                <w:rFonts w:hint="eastAsia" w:ascii="宋体"/>
                <w:color w:val="000000"/>
                <w:sz w:val="20"/>
                <w:szCs w:val="20"/>
                <w:lang w:val="en-US" w:eastAsia="zh-CN"/>
              </w:rPr>
              <w:t>潜在火灾，污水排放，固废排放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应急预案有：</w:t>
            </w:r>
            <w:r>
              <w:rPr>
                <w:rFonts w:hint="eastAsia" w:ascii="宋体"/>
                <w:color w:val="000000"/>
                <w:sz w:val="20"/>
                <w:szCs w:val="20"/>
                <w:lang w:val="en-US" w:eastAsia="zh-CN"/>
              </w:rPr>
              <w:t>火灾应急预案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default" w:ascii="宋体" w:eastAsia="宋体"/>
                <w:color w:val="000000"/>
                <w:sz w:val="20"/>
                <w:szCs w:val="20"/>
                <w:lang w:val="en-US" w:eastAsia="zh-CN"/>
              </w:rPr>
            </w:pPr>
            <w:r>
              <w:rPr>
                <w:rFonts w:hint="eastAsia" w:ascii="宋体"/>
                <w:color w:val="000000"/>
                <w:sz w:val="20"/>
                <w:szCs w:val="20"/>
              </w:rPr>
              <w:t>不可接受风险有：</w:t>
            </w:r>
            <w:r>
              <w:rPr>
                <w:rFonts w:hint="eastAsia" w:ascii="宋体"/>
                <w:color w:val="000000"/>
                <w:sz w:val="20"/>
                <w:szCs w:val="20"/>
                <w:lang w:val="en-US" w:eastAsia="zh-CN"/>
              </w:rPr>
              <w:t>火灾、触电、人身伤害、机械伤害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是□否</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44</w:t>
            </w:r>
            <w:r>
              <w:rPr>
                <w:rFonts w:hint="eastAsia" w:ascii="宋体"/>
                <w:color w:val="000000"/>
                <w:sz w:val="20"/>
                <w:szCs w:val="20"/>
              </w:rPr>
              <w:t>人，其中管理人员：</w:t>
            </w:r>
            <w:r>
              <w:rPr>
                <w:rFonts w:hint="eastAsia" w:ascii="宋体"/>
                <w:color w:val="000000"/>
                <w:sz w:val="20"/>
                <w:szCs w:val="20"/>
                <w:lang w:val="en-US" w:eastAsia="zh-CN"/>
              </w:rPr>
              <w:t>12</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w:t>
            </w:r>
            <w:r>
              <w:rPr>
                <w:rFonts w:hint="eastAsia" w:ascii="宋体"/>
                <w:color w:val="000000"/>
                <w:sz w:val="20"/>
                <w:szCs w:val="20"/>
                <w:lang w:val="en-US" w:eastAsia="zh-CN"/>
              </w:rPr>
              <w:t>25</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hint="eastAsia" w:ascii="宋体" w:eastAsia="宋体"/>
                <w:b/>
                <w:color w:val="000000"/>
                <w:szCs w:val="21"/>
                <w:lang w:eastAsia="zh-CN"/>
              </w:rPr>
            </w:pPr>
            <w:r>
              <w:rPr>
                <w:rFonts w:hint="eastAsia" w:ascii="宋体" w:hAnsi="宋体"/>
                <w:b/>
                <w:color w:val="000000"/>
                <w:szCs w:val="21"/>
              </w:rPr>
              <w:t>▲依据场所分布、距离</w:t>
            </w:r>
            <w:r>
              <w:rPr>
                <w:rFonts w:ascii="宋体" w:hAnsi="宋体"/>
                <w:b/>
                <w:color w:val="000000"/>
                <w:szCs w:val="21"/>
              </w:rPr>
              <w:t xml:space="preserve">; </w:t>
            </w:r>
            <w:r>
              <w:rPr>
                <w:rFonts w:hint="eastAsia" w:ascii="宋体" w:hAnsi="宋体"/>
                <w:b/>
                <w:color w:val="000000"/>
                <w:szCs w:val="21"/>
                <w:lang w:val="en-US" w:eastAsia="zh-CN"/>
              </w:rPr>
              <w:t>与公司本部同一地址</w:t>
            </w:r>
            <w:r>
              <w:rPr>
                <w:rFonts w:hint="eastAsia" w:ascii="宋体" w:hAnsi="宋体"/>
                <w:b/>
                <w:color w:val="000000"/>
                <w:szCs w:val="21"/>
              </w:rPr>
              <w:t xml:space="preserve"> </w:t>
            </w:r>
            <w:r>
              <w:rPr>
                <w:rFonts w:hint="eastAsia" w:ascii="宋体" w:hAnsi="宋体"/>
                <w:b/>
                <w:color w:val="000000"/>
                <w:szCs w:val="21"/>
                <w:lang w:eastAsia="zh-CN"/>
              </w:rPr>
              <w:t>。</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项目部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服务过程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项目部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项目现场</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hint="eastAsia"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项目部</w:t>
            </w:r>
          </w:p>
          <w:p>
            <w:pPr>
              <w:spacing w:line="260" w:lineRule="exact"/>
              <w:rPr>
                <w:rFonts w:hint="eastAsia"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项目现场</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建立有《内部审核控制程序》，于</w:t>
            </w:r>
            <w:r>
              <w:rPr>
                <w:rFonts w:hint="eastAsia" w:ascii="宋体" w:hAnsi="宋体"/>
                <w:szCs w:val="21"/>
              </w:rPr>
              <w:t>2020年</w:t>
            </w:r>
            <w:r>
              <w:rPr>
                <w:rFonts w:hint="eastAsia" w:ascii="宋体" w:hAnsi="宋体"/>
                <w:szCs w:val="21"/>
                <w:lang w:val="en-US" w:eastAsia="zh-CN"/>
              </w:rPr>
              <w:t>11</w:t>
            </w:r>
            <w:r>
              <w:rPr>
                <w:rFonts w:hint="eastAsia" w:ascii="宋体" w:hAnsi="宋体"/>
                <w:szCs w:val="21"/>
              </w:rPr>
              <w:t>月2</w:t>
            </w:r>
            <w:r>
              <w:rPr>
                <w:rFonts w:hint="eastAsia" w:ascii="宋体" w:hAnsi="宋体"/>
                <w:szCs w:val="21"/>
                <w:lang w:val="en-US" w:eastAsia="zh-CN"/>
              </w:rPr>
              <w:t>0日-21</w:t>
            </w:r>
            <w:r>
              <w:rPr>
                <w:rFonts w:hint="eastAsia" w:ascii="宋体" w:hAnsi="宋体"/>
                <w:szCs w:val="21"/>
              </w:rPr>
              <w:t>日</w:t>
            </w:r>
            <w:r>
              <w:rPr>
                <w:rFonts w:hint="eastAsia"/>
                <w:szCs w:val="21"/>
              </w:rPr>
              <w:t>进行了内部审核。内部审核组由：</w:t>
            </w:r>
            <w:r>
              <w:rPr>
                <w:rFonts w:hint="eastAsia"/>
                <w:lang w:val="en-US" w:eastAsia="zh-CN"/>
              </w:rPr>
              <w:t>李宇</w:t>
            </w:r>
            <w:r>
              <w:rPr>
                <w:rFonts w:hint="eastAsia" w:ascii="宋体" w:hAnsi="宋体"/>
                <w:szCs w:val="21"/>
              </w:rPr>
              <w:t>（组长）、</w:t>
            </w:r>
            <w:r>
              <w:rPr>
                <w:rFonts w:hint="eastAsia"/>
                <w:lang w:val="en-US" w:eastAsia="zh-CN"/>
              </w:rPr>
              <w:t>刘霞</w:t>
            </w:r>
            <w:r>
              <w:rPr>
                <w:rFonts w:hint="eastAsia" w:ascii="宋体" w:hAnsi="宋体"/>
                <w:szCs w:val="21"/>
              </w:rPr>
              <w:t>（组员）</w:t>
            </w:r>
            <w:r>
              <w:rPr>
                <w:rFonts w:hint="eastAsia"/>
                <w:szCs w:val="21"/>
              </w:rPr>
              <w:t>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40" w:lineRule="exac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ind w:firstLine="420" w:firstLineChars="200"/>
              <w:rPr>
                <w:szCs w:val="21"/>
              </w:rPr>
            </w:pPr>
            <w:r>
              <w:rPr>
                <w:rFonts w:hint="eastAsia"/>
                <w:szCs w:val="21"/>
              </w:rPr>
              <w:t>1、审核范围:管理体系涉及的公司所有部门、服务场所。</w:t>
            </w:r>
          </w:p>
          <w:p>
            <w:pPr>
              <w:spacing w:line="260" w:lineRule="exact"/>
              <w:ind w:firstLine="420" w:firstLineChars="200"/>
              <w:rPr>
                <w:rFonts w:ascii="宋体"/>
                <w:b/>
                <w:color w:val="000000"/>
                <w:sz w:val="20"/>
                <w:szCs w:val="20"/>
              </w:rPr>
            </w:pPr>
            <w:r>
              <w:rPr>
                <w:rFonts w:hint="eastAsia" w:ascii="Times New Roman" w:hAnsi="Times New Roman" w:eastAsia="宋体" w:cs="Times New Roman"/>
                <w:szCs w:val="21"/>
              </w:rPr>
              <w:t>2、审核准则：a.Q.GB/T 19001-2016idtISO 9001:2015,E：GB/T 24001-2016idtISO 14001:2015,O：ISO 45001：2018标准； b本公司管理体系文 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ind w:firstLine="420" w:firstLineChars="200"/>
              <w:rPr>
                <w:szCs w:val="21"/>
              </w:rPr>
            </w:pPr>
            <w:r>
              <w:rPr>
                <w:rFonts w:hint="eastAsia"/>
                <w:szCs w:val="21"/>
              </w:rPr>
              <w:t>本次内审对标准体系文件管理手册、体系文件进行了全面检查，通过审核可以看出管理体系已基本进入了正常状态。各部门需要对内审开出的不符合项报告认真整改，并做到举一反三，以点带面，通过纠正预防措施的执行，使管理体系正常而有效运行。</w:t>
            </w:r>
          </w:p>
          <w:p>
            <w:pPr>
              <w:spacing w:line="260" w:lineRule="exact"/>
              <w:rPr>
                <w:rFonts w:ascii="宋体" w:hAnsi="Times New Roman" w:eastAsia="宋体" w:cs="Times New Roman"/>
                <w:b/>
                <w:color w:val="000000"/>
                <w:kern w:val="2"/>
                <w:sz w:val="20"/>
                <w:szCs w:val="20"/>
                <w:lang w:val="en-US" w:eastAsia="zh-CN" w:bidi="ar-SA"/>
              </w:rPr>
            </w:pPr>
            <w:r>
              <w:rPr>
                <w:rFonts w:hint="eastAsia"/>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建立有《管理评审控制程序》，于2020年</w:t>
            </w:r>
            <w:r>
              <w:rPr>
                <w:rFonts w:hint="eastAsia"/>
                <w:szCs w:val="21"/>
                <w:lang w:val="en-US" w:eastAsia="zh-CN"/>
              </w:rPr>
              <w:t>12</w:t>
            </w:r>
            <w:r>
              <w:rPr>
                <w:rFonts w:hint="eastAsia"/>
                <w:szCs w:val="21"/>
              </w:rPr>
              <w:t>月</w:t>
            </w:r>
            <w:r>
              <w:rPr>
                <w:rFonts w:hint="eastAsia"/>
                <w:szCs w:val="21"/>
                <w:lang w:val="en-US" w:eastAsia="zh-CN"/>
              </w:rPr>
              <w:t>1</w:t>
            </w:r>
            <w:r>
              <w:rPr>
                <w:rFonts w:hint="eastAsia"/>
                <w:szCs w:val="21"/>
              </w:rPr>
              <w:t>0日就管理方针和目标，评价和审定管理体系运行的适宜性、充分性和有效性进行了评审。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adjustRightInd w:val="0"/>
              <w:spacing w:line="400" w:lineRule="exact"/>
              <w:textAlignment w:val="baseline"/>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260" w:lineRule="exact"/>
              <w:rPr>
                <w:rFonts w:ascii="宋体" w:hAnsi="Times New Roman" w:eastAsia="宋体" w:cs="Times New Roman"/>
                <w:b/>
                <w:color w:val="000000"/>
                <w:kern w:val="2"/>
                <w:sz w:val="20"/>
                <w:szCs w:val="20"/>
                <w:lang w:val="en-US" w:eastAsia="zh-CN" w:bidi="ar-SA"/>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hint="default"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作好准备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vAlign w:val="top"/>
          </w:tcPr>
          <w:p>
            <w:pPr>
              <w:rPr>
                <w:rFonts w:ascii="宋体" w:hAnsi="Times New Roman" w:eastAsia="宋体" w:cs="Times New Roman"/>
                <w:color w:val="000000"/>
                <w:kern w:val="2"/>
                <w:sz w:val="20"/>
                <w:szCs w:val="20"/>
                <w:lang w:val="en-US" w:eastAsia="zh-CN" w:bidi="ar-SA"/>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rPr>
              <w:t>■</w:t>
            </w:r>
            <w:r>
              <w:rPr>
                <w:rFonts w:ascii="宋体" w:hAnsi="宋体"/>
                <w:b/>
                <w:color w:val="000000"/>
                <w:sz w:val="20"/>
                <w:szCs w:val="20"/>
              </w:rPr>
              <w:t>QMS /</w:t>
            </w:r>
            <w:r>
              <w:rPr>
                <w:rFonts w:hint="eastAsia" w:ascii="宋体" w:hAnsi="宋体"/>
                <w:b/>
                <w:color w:val="000000"/>
                <w:spacing w:val="-10"/>
                <w:sz w:val="20"/>
                <w:szCs w:val="20"/>
              </w:rPr>
              <w:t>■</w:t>
            </w:r>
            <w:r>
              <w:rPr>
                <w:rFonts w:ascii="宋体" w:hAnsi="宋体"/>
                <w:b/>
                <w:color w:val="000000"/>
                <w:sz w:val="20"/>
                <w:szCs w:val="20"/>
              </w:rPr>
              <w:t>EMS/</w:t>
            </w:r>
            <w:r>
              <w:rPr>
                <w:rFonts w:hint="eastAsia" w:ascii="宋体" w:hAnsi="宋体"/>
                <w:b/>
                <w:color w:val="000000"/>
                <w:spacing w:val="-10"/>
                <w:sz w:val="20"/>
                <w:szCs w:val="20"/>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eastAsia="宋体" w:cs="宋体"/>
          <w:b/>
          <w:color w:val="000000"/>
          <w:sz w:val="20"/>
          <w:szCs w:val="20"/>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rPr>
          <w:rFonts w:ascii="宋体" w:hAnsi="宋体"/>
          <w:szCs w:val="21"/>
        </w:rPr>
      </w:pPr>
      <w:r>
        <w:rPr>
          <w:rFonts w:ascii="宋体" w:hAnsi="宋体"/>
          <w:b/>
          <w:color w:val="000000"/>
          <w:sz w:val="20"/>
          <w:szCs w:val="20"/>
        </w:rPr>
        <w:t>QMS:</w:t>
      </w:r>
      <w:r>
        <w:rPr>
          <w:rFonts w:hint="eastAsia" w:ascii="宋体" w:hAnsi="宋体"/>
          <w:szCs w:val="21"/>
          <w:u w:val="single"/>
        </w:rPr>
        <w:t>物业管理服务。</w:t>
      </w:r>
    </w:p>
    <w:p>
      <w:pPr>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hint="eastAsia" w:ascii="宋体" w:hAnsi="宋体"/>
          <w:szCs w:val="21"/>
          <w:u w:val="single"/>
        </w:rPr>
        <w:t>物业管理服务所涉及的相关环境管理活动。</w:t>
      </w:r>
    </w:p>
    <w:p>
      <w:pPr>
        <w:rPr>
          <w:rFonts w:ascii="宋体" w:hAnsi="宋体"/>
          <w:szCs w:val="21"/>
        </w:rPr>
      </w:pPr>
      <w:r>
        <w:rPr>
          <w:rFonts w:ascii="宋体" w:hAnsi="宋体"/>
          <w:b/>
          <w:color w:val="000000"/>
          <w:sz w:val="20"/>
          <w:szCs w:val="20"/>
        </w:rPr>
        <w:t>OHSMS</w:t>
      </w:r>
      <w:r>
        <w:rPr>
          <w:rFonts w:ascii="宋体" w:hAnsi="宋体"/>
          <w:b/>
          <w:color w:val="000000"/>
          <w:sz w:val="20"/>
          <w:szCs w:val="20"/>
          <w:lang w:val="en-GB"/>
        </w:rPr>
        <w:t>:</w:t>
      </w:r>
      <w:r>
        <w:rPr>
          <w:rFonts w:hint="eastAsia" w:ascii="宋体" w:hAnsi="宋体"/>
          <w:szCs w:val="21"/>
          <w:u w:val="single"/>
        </w:rPr>
        <w:t>物业管理服务所涉及的相关职业健康安全管理活动。</w:t>
      </w:r>
    </w:p>
    <w:p>
      <w:pPr>
        <w:spacing w:before="156" w:beforeLines="50" w:after="62" w:afterLines="20" w:line="360" w:lineRule="exact"/>
        <w:ind w:firstLine="210" w:firstLineChars="100"/>
        <w:rPr>
          <w:rFonts w:ascii="宋体"/>
          <w:b/>
          <w:bCs/>
          <w:color w:val="000000"/>
          <w:sz w:val="26"/>
          <w:szCs w:val="26"/>
        </w:rPr>
      </w:pPr>
      <w:r>
        <w:rPr>
          <w:rFonts w:ascii="宋体" w:hAnsi="宋体"/>
        </w:rPr>
        <w:drawing>
          <wp:anchor distT="0" distB="0" distL="0" distR="0" simplePos="0" relativeHeight="251659264" behindDoc="0" locked="0" layoutInCell="1" allowOverlap="1">
            <wp:simplePos x="0" y="0"/>
            <wp:positionH relativeFrom="column">
              <wp:posOffset>1767840</wp:posOffset>
            </wp:positionH>
            <wp:positionV relativeFrom="paragraph">
              <wp:posOffset>320040</wp:posOffset>
            </wp:positionV>
            <wp:extent cx="725170" cy="452120"/>
            <wp:effectExtent l="0" t="0" r="6350" b="5080"/>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a:stretch>
                      <a:fillRect/>
                    </a:stretch>
                  </pic:blipFill>
                  <pic:spPr>
                    <a:xfrm>
                      <a:off x="0" y="0"/>
                      <a:ext cx="725170" cy="452120"/>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662336" behindDoc="0" locked="0" layoutInCell="1" allowOverlap="1">
            <wp:simplePos x="0" y="0"/>
            <wp:positionH relativeFrom="column">
              <wp:posOffset>2360930</wp:posOffset>
            </wp:positionH>
            <wp:positionV relativeFrom="paragraph">
              <wp:posOffset>76835</wp:posOffset>
            </wp:positionV>
            <wp:extent cx="778510" cy="385445"/>
            <wp:effectExtent l="0" t="0" r="13970" b="10795"/>
            <wp:wrapNone/>
            <wp:docPr id="10" name="图片 10"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小号"/>
                    <pic:cNvPicPr>
                      <a:picLocks noChangeAspect="1"/>
                    </pic:cNvPicPr>
                  </pic:nvPicPr>
                  <pic:blipFill>
                    <a:blip r:embed="rId7"/>
                    <a:srcRect l="19829" t="27682" r="28673" b="20988"/>
                    <a:stretch>
                      <a:fillRect/>
                    </a:stretch>
                  </pic:blipFill>
                  <pic:spPr>
                    <a:xfrm>
                      <a:off x="0" y="0"/>
                      <a:ext cx="778510" cy="385445"/>
                    </a:xfrm>
                    <a:prstGeom prst="rect">
                      <a:avLst/>
                    </a:prstGeom>
                  </pic:spPr>
                </pic:pic>
              </a:graphicData>
            </a:graphic>
          </wp:anchor>
        </w:drawing>
      </w:r>
      <w:r>
        <w:rPr>
          <w:rFonts w:hint="eastAsia"/>
          <w:b/>
          <w:sz w:val="22"/>
          <w:szCs w:val="22"/>
        </w:rPr>
        <w:drawing>
          <wp:anchor distT="0" distB="0" distL="114300" distR="114300" simplePos="0" relativeHeight="251661312" behindDoc="0" locked="0" layoutInCell="1" allowOverlap="1">
            <wp:simplePos x="0" y="0"/>
            <wp:positionH relativeFrom="column">
              <wp:posOffset>1790700</wp:posOffset>
            </wp:positionH>
            <wp:positionV relativeFrom="paragraph">
              <wp:posOffset>100330</wp:posOffset>
            </wp:positionV>
            <wp:extent cx="509905" cy="386080"/>
            <wp:effectExtent l="0" t="0" r="8255" b="1016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8" cstate="print"/>
                    <a:srcRect/>
                    <a:stretch>
                      <a:fillRect/>
                    </a:stretch>
                  </pic:blipFill>
                  <pic:spPr>
                    <a:xfrm>
                      <a:off x="0" y="0"/>
                      <a:ext cx="509905" cy="386080"/>
                    </a:xfrm>
                    <a:prstGeom prst="rect">
                      <a:avLst/>
                    </a:prstGeom>
                    <a:noFill/>
                    <a:ln w="9525">
                      <a:noFill/>
                      <a:miter lim="800000"/>
                      <a:headEnd/>
                      <a:tailEnd/>
                    </a:ln>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2021.4.3</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受审核方：眉山金房物业服务有限责任公司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rFonts w:hint="eastAsia" w:eastAsia="宋体"/>
                <w:color w:val="000000"/>
                <w:sz w:val="24"/>
                <w:szCs w:val="24"/>
                <w:lang w:val="en-US" w:eastAsia="zh-CN"/>
              </w:rPr>
            </w:pPr>
            <w:r>
              <w:rPr>
                <w:rFonts w:hint="eastAsia"/>
                <w:color w:val="000000"/>
                <w:sz w:val="24"/>
                <w:szCs w:val="24"/>
                <w:lang w:val="en-US" w:eastAsia="zh-CN"/>
              </w:rPr>
              <w:t>无</w:t>
            </w: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lang w:eastAsia="zh-CN"/>
              </w:rPr>
              <w:t>■</w:t>
            </w: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sz w:val="22"/>
                <w:szCs w:val="22"/>
              </w:rPr>
              <w:drawing>
                <wp:anchor distT="0" distB="0" distL="114300" distR="114300" simplePos="0" relativeHeight="251663360" behindDoc="0" locked="0" layoutInCell="1" allowOverlap="1">
                  <wp:simplePos x="0" y="0"/>
                  <wp:positionH relativeFrom="column">
                    <wp:posOffset>602615</wp:posOffset>
                  </wp:positionH>
                  <wp:positionV relativeFrom="paragraph">
                    <wp:posOffset>15875</wp:posOffset>
                  </wp:positionV>
                  <wp:extent cx="635000" cy="397510"/>
                  <wp:effectExtent l="0" t="0" r="5080" b="13970"/>
                  <wp:wrapNone/>
                  <wp:docPr id="4" name="图片 4"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新文档 2020-01-09 10.59.53_副本.jpg"/>
                          <pic:cNvPicPr>
                            <a:picLocks noChangeAspect="1" noChangeArrowheads="1"/>
                          </pic:cNvPicPr>
                        </pic:nvPicPr>
                        <pic:blipFill>
                          <a:blip r:embed="rId9" cstate="print"/>
                          <a:srcRect/>
                          <a:stretch>
                            <a:fillRect/>
                          </a:stretch>
                        </pic:blipFill>
                        <pic:spPr>
                          <a:xfrm>
                            <a:off x="0" y="0"/>
                            <a:ext cx="635000" cy="39751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ind w:firstLine="4196" w:firstLineChars="1900"/>
              <w:rPr>
                <w:rFonts w:hint="default" w:eastAsia="宋体"/>
                <w:b/>
                <w:color w:val="000000"/>
                <w:sz w:val="22"/>
                <w:szCs w:val="22"/>
                <w:lang w:val="en-US" w:eastAsia="zh-CN"/>
              </w:rPr>
            </w:pPr>
            <w:r>
              <w:rPr>
                <w:rFonts w:hint="eastAsia"/>
                <w:b/>
                <w:color w:val="000000"/>
                <w:sz w:val="22"/>
                <w:szCs w:val="22"/>
              </w:rPr>
              <w:t xml:space="preserve">日期： </w:t>
            </w:r>
            <w:r>
              <w:rPr>
                <w:rFonts w:hint="eastAsia"/>
                <w:b/>
                <w:color w:val="000000"/>
                <w:sz w:val="22"/>
                <w:szCs w:val="22"/>
                <w:lang w:val="en-US" w:eastAsia="zh-CN"/>
              </w:rPr>
              <w:t>2021年4月3日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李宇</w:t>
            </w:r>
            <w:r>
              <w:rPr>
                <w:rFonts w:hint="eastAsia"/>
                <w:b/>
                <w:color w:val="000000"/>
                <w:sz w:val="22"/>
                <w:szCs w:val="22"/>
              </w:rPr>
              <w:t xml:space="preserve">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2021年4月3日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64384" behindDoc="1" locked="0" layoutInCell="1" allowOverlap="1">
                  <wp:simplePos x="0" y="0"/>
                  <wp:positionH relativeFrom="column">
                    <wp:posOffset>676910</wp:posOffset>
                  </wp:positionH>
                  <wp:positionV relativeFrom="paragraph">
                    <wp:posOffset>200025</wp:posOffset>
                  </wp:positionV>
                  <wp:extent cx="721995" cy="452120"/>
                  <wp:effectExtent l="0" t="0" r="9525" b="5080"/>
                  <wp:wrapNone/>
                  <wp:docPr id="5" name="图片 5"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新文档 2020-01-09 10.59.53_副本.jpg"/>
                          <pic:cNvPicPr>
                            <a:picLocks noChangeAspect="1" noChangeArrowheads="1"/>
                          </pic:cNvPicPr>
                        </pic:nvPicPr>
                        <pic:blipFill>
                          <a:blip r:embed="rId9" cstate="print"/>
                          <a:srcRect/>
                          <a:stretch>
                            <a:fillRect/>
                          </a:stretch>
                        </pic:blipFill>
                        <pic:spPr>
                          <a:xfrm>
                            <a:off x="0" y="0"/>
                            <a:ext cx="721995" cy="452120"/>
                          </a:xfrm>
                          <a:prstGeom prst="rect">
                            <a:avLst/>
                          </a:prstGeom>
                          <a:noFill/>
                          <a:ln w="9525">
                            <a:noFill/>
                            <a:miter lim="800000"/>
                            <a:headEnd/>
                            <a:tailEnd/>
                          </a:ln>
                        </pic:spPr>
                      </pic:pic>
                    </a:graphicData>
                  </a:graphic>
                </wp:anchor>
              </w:drawing>
            </w: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2021年4月3日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2F55256"/>
    <w:rsid w:val="09F93E75"/>
    <w:rsid w:val="0A4E6AD2"/>
    <w:rsid w:val="0FD1462E"/>
    <w:rsid w:val="24927561"/>
    <w:rsid w:val="2D490927"/>
    <w:rsid w:val="30FE3570"/>
    <w:rsid w:val="3B673963"/>
    <w:rsid w:val="3E727F81"/>
    <w:rsid w:val="556F3627"/>
    <w:rsid w:val="58ED7FA2"/>
    <w:rsid w:val="644C06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way一直都在</cp:lastModifiedBy>
  <dcterms:modified xsi:type="dcterms:W3CDTF">2021-04-13T14:26:44Z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E1BF646A20BF49149519E467BCB0631F</vt:lpwstr>
  </property>
</Properties>
</file>