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四川众信食品有限公司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罗田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孙镱溪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03.04.01,03.08.04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szCs w:val="21"/>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left="-850" w:leftChars="-405"/>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四川众信食品有限公司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37</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Cs/>
                <w:color w:val="000000" w:themeColor="text1"/>
                <w:sz w:val="20"/>
                <w:szCs w:val="20"/>
              </w:rPr>
            </w:pPr>
            <w:bookmarkStart w:id="7" w:name="注册地址"/>
            <w:r>
              <w:rPr>
                <w:rFonts w:ascii="宋体" w:hAnsi="宋体"/>
                <w:bCs/>
                <w:color w:val="000000" w:themeColor="text1"/>
                <w:sz w:val="20"/>
                <w:szCs w:val="20"/>
              </w:rPr>
              <w:t>成都市简阳市工业园区贾家中小企业园</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hint="default" w:ascii="宋体" w:hAnsi="宋体" w:eastAsia="宋体"/>
                <w:b/>
                <w:color w:val="000000" w:themeColor="text1"/>
                <w:spacing w:val="-20"/>
                <w:sz w:val="20"/>
                <w:szCs w:val="20"/>
                <w:lang w:val="en-US" w:eastAsia="zh-CN"/>
              </w:rPr>
            </w:pPr>
            <w:r>
              <w:rPr>
                <w:rFonts w:hint="eastAsia" w:ascii="宋体" w:hAnsi="宋体"/>
                <w:b/>
                <w:color w:val="000000" w:themeColor="text1"/>
                <w:spacing w:val="-20"/>
                <w:sz w:val="20"/>
                <w:szCs w:val="20"/>
                <w:lang w:val="en-US" w:eastAsia="zh-CN"/>
              </w:rPr>
              <w:t>641421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jc w:val="center"/>
              <w:rPr>
                <w:rFonts w:ascii="宋体" w:hAnsi="宋体"/>
                <w:bCs/>
                <w:color w:val="000000" w:themeColor="text1"/>
                <w:sz w:val="20"/>
                <w:szCs w:val="20"/>
              </w:rPr>
            </w:pPr>
            <w:bookmarkStart w:id="8" w:name="办公地址"/>
            <w:r>
              <w:rPr>
                <w:rFonts w:ascii="宋体" w:hAnsi="宋体"/>
                <w:bCs/>
                <w:color w:val="000000" w:themeColor="text1"/>
                <w:sz w:val="20"/>
                <w:szCs w:val="20"/>
              </w:rPr>
              <w:t>成都市简阳市工业园区贾家中小企业园</w:t>
            </w:r>
            <w:bookmarkEnd w:id="8"/>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r>
              <w:rPr>
                <w:rFonts w:hint="eastAsia" w:ascii="宋体" w:hAnsi="宋体"/>
                <w:b/>
                <w:color w:val="000000" w:themeColor="text1"/>
                <w:spacing w:val="-20"/>
                <w:sz w:val="20"/>
                <w:szCs w:val="20"/>
                <w:lang w:val="en-US" w:eastAsia="zh-CN"/>
              </w:rPr>
              <w:t>641421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马磊</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15982203118</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孙士安</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r>
              <w:rPr>
                <w:rFonts w:hint="eastAsia" w:ascii="宋体" w:hAnsi="宋体"/>
                <w:b/>
                <w:color w:val="000000" w:themeColor="text1"/>
                <w:spacing w:val="-20"/>
                <w:sz w:val="20"/>
                <w:szCs w:val="20"/>
              </w:rPr>
              <w:t>孙龙</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孙龙</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Cs/>
                <w:color w:val="000000" w:themeColor="text1"/>
                <w:sz w:val="20"/>
                <w:szCs w:val="20"/>
                <w:u w:val="single"/>
              </w:rPr>
            </w:pPr>
            <w:r>
              <w:rPr>
                <w:rFonts w:hint="eastAsia" w:ascii="Times New Roman" w:hAnsi="Times New Roman" w:eastAsia="宋体" w:cs="Times New Roman"/>
                <w:b/>
                <w:bCs/>
                <w:kern w:val="2"/>
                <w:sz w:val="21"/>
                <w:szCs w:val="21"/>
                <w:highlight w:val="yellow"/>
                <w:lang w:val="en-US" w:eastAsia="zh-CN" w:bidi="ar-SA"/>
              </w:rPr>
              <w:t>许可范围内食用植物油（菜籽油、大豆油、芝麻油）、食用调和油、半固态（酱）调味料的分装和食品调味油的生产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03.04.01;03.08.04</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szCs w:val="21"/>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2020-11-05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b/>
                <w:color w:val="000000" w:themeColor="text1"/>
                <w:sz w:val="20"/>
                <w:szCs w:val="20"/>
              </w:rPr>
            </w:pPr>
            <w:r>
              <w:rPr>
                <w:rFonts w:hint="eastAsia" w:ascii="宋体" w:hAnsi="宋体"/>
                <w:b/>
                <w:color w:val="000000" w:themeColor="text1"/>
                <w:sz w:val="20"/>
                <w:szCs w:val="20"/>
              </w:rPr>
              <w:t>管理层</w:t>
            </w:r>
          </w:p>
        </w:tc>
        <w:tc>
          <w:tcPr>
            <w:tcW w:w="6804" w:type="dxa"/>
          </w:tcPr>
          <w:p>
            <w:pPr>
              <w:jc w:val="left"/>
              <w:rPr>
                <w:rFonts w:hint="eastAsia" w:ascii="宋体" w:hAnsi="宋体"/>
                <w:bCs/>
                <w:color w:val="000000" w:themeColor="text1"/>
                <w:spacing w:val="-20"/>
                <w:sz w:val="20"/>
                <w:szCs w:val="20"/>
              </w:rPr>
            </w:pPr>
            <w:r>
              <w:rPr>
                <w:rFonts w:hint="eastAsia" w:ascii="宋体" w:hAnsi="宋体"/>
                <w:bCs/>
                <w:color w:val="000000" w:themeColor="text1"/>
                <w:spacing w:val="-20"/>
                <w:sz w:val="20"/>
                <w:szCs w:val="20"/>
              </w:rPr>
              <w:t>内外部环境识别、管理职责分配、方针目标制定审批、提供必要的资源、管理评审、改进等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left"/>
              <w:rPr>
                <w:rFonts w:ascii="宋体" w:hAnsi="宋体"/>
                <w:bCs/>
                <w:color w:val="000000" w:themeColor="text1"/>
                <w:spacing w:val="-20"/>
                <w:sz w:val="20"/>
                <w:szCs w:val="20"/>
              </w:rPr>
            </w:pPr>
            <w:r>
              <w:rPr>
                <w:rFonts w:hint="eastAsia" w:ascii="宋体" w:hAnsi="宋体"/>
                <w:bCs/>
                <w:color w:val="000000" w:themeColor="text1"/>
                <w:spacing w:val="-20"/>
                <w:sz w:val="20"/>
                <w:szCs w:val="20"/>
              </w:rPr>
              <w:t>采购、供应商管理、销售、客户管理、顾客满意度调查、产品和服务要求的确定等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Cs/>
                <w:color w:val="000000" w:themeColor="text1"/>
                <w:spacing w:val="-20"/>
                <w:sz w:val="20"/>
                <w:szCs w:val="20"/>
              </w:rPr>
            </w:pPr>
            <w:r>
              <w:rPr>
                <w:rFonts w:hint="eastAsia" w:ascii="宋体" w:hAnsi="宋体"/>
                <w:bCs/>
                <w:color w:val="000000" w:themeColor="text1"/>
                <w:spacing w:val="-20"/>
                <w:sz w:val="20"/>
                <w:szCs w:val="20"/>
              </w:rPr>
              <w:t>体系文件控制管理、人力资源、培训、内审执行、沟通、监视分析和评价等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w:t>
            </w:r>
          </w:p>
        </w:tc>
        <w:tc>
          <w:tcPr>
            <w:tcW w:w="6804" w:type="dxa"/>
          </w:tcPr>
          <w:p>
            <w:pPr>
              <w:jc w:val="left"/>
              <w:rPr>
                <w:rFonts w:ascii="宋体" w:hAnsi="宋体"/>
                <w:bCs/>
                <w:color w:val="000000" w:themeColor="text1"/>
                <w:spacing w:val="-20"/>
                <w:sz w:val="20"/>
                <w:szCs w:val="20"/>
              </w:rPr>
            </w:pPr>
            <w:r>
              <w:rPr>
                <w:rFonts w:hint="eastAsia" w:ascii="宋体" w:hAnsi="宋体"/>
                <w:bCs/>
                <w:color w:val="000000" w:themeColor="text1"/>
                <w:spacing w:val="-20"/>
                <w:sz w:val="20"/>
                <w:szCs w:val="20"/>
              </w:rPr>
              <w:t>生产、生产过程控制、环境消杀、库房管理等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品控部</w:t>
            </w:r>
          </w:p>
        </w:tc>
        <w:tc>
          <w:tcPr>
            <w:tcW w:w="6804" w:type="dxa"/>
          </w:tcPr>
          <w:p>
            <w:pPr>
              <w:jc w:val="left"/>
              <w:rPr>
                <w:rFonts w:ascii="宋体" w:hAnsi="宋体"/>
                <w:b/>
                <w:color w:val="000000" w:themeColor="text1"/>
                <w:spacing w:val="-20"/>
                <w:sz w:val="20"/>
                <w:szCs w:val="20"/>
                <w:u w:val="single"/>
              </w:rPr>
            </w:pPr>
            <w:r>
              <w:rPr>
                <w:rFonts w:hint="eastAsia" w:ascii="宋体" w:hAnsi="宋体"/>
                <w:bCs/>
                <w:color w:val="000000" w:themeColor="text1"/>
                <w:spacing w:val="-20"/>
                <w:sz w:val="20"/>
                <w:szCs w:val="20"/>
              </w:rPr>
              <w:t>产品检验、产品放行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bl>
    <w:p>
      <w:pPr>
        <w:ind w:left="-169" w:leftChars="-337" w:hanging="539" w:hangingChars="271"/>
        <w:rPr>
          <w:rFonts w:hAnsi="宋体"/>
          <w:b/>
          <w:color w:val="000000" w:themeColor="text1"/>
          <w:spacing w:val="-6"/>
          <w:szCs w:val="21"/>
          <w:highlight w:val="none"/>
        </w:rPr>
      </w:pPr>
      <w:r>
        <w:rPr>
          <w:rFonts w:hint="eastAsia"/>
          <w:b/>
          <w:color w:val="000000" w:themeColor="text1"/>
          <w:spacing w:val="-6"/>
          <w:szCs w:val="21"/>
          <w:highlight w:val="none"/>
        </w:rPr>
        <w:t xml:space="preserve">4. </w:t>
      </w:r>
      <w:r>
        <w:rPr>
          <w:rFonts w:hint="eastAsia" w:hAnsi="宋体"/>
          <w:b/>
          <w:color w:val="000000" w:themeColor="text1"/>
          <w:spacing w:val="-6"/>
          <w:szCs w:val="21"/>
          <w:highlight w:val="none"/>
        </w:rPr>
        <w:t>已审核具体的产品</w:t>
      </w:r>
      <w:r>
        <w:rPr>
          <w:rFonts w:hint="eastAsia"/>
          <w:b/>
          <w:color w:val="000000" w:themeColor="text1"/>
          <w:spacing w:val="-6"/>
          <w:szCs w:val="21"/>
          <w:highlight w:val="none"/>
        </w:rPr>
        <w:t>/</w:t>
      </w:r>
      <w:r>
        <w:rPr>
          <w:rFonts w:hint="eastAsia" w:hAnsi="宋体"/>
          <w:b/>
          <w:color w:val="000000" w:themeColor="text1"/>
          <w:spacing w:val="-6"/>
          <w:szCs w:val="21"/>
          <w:highlight w:val="none"/>
        </w:rPr>
        <w:t>服务</w:t>
      </w:r>
      <w:r>
        <w:rPr>
          <w:rFonts w:hint="eastAsia"/>
          <w:b/>
          <w:color w:val="000000" w:themeColor="text1"/>
          <w:spacing w:val="-6"/>
          <w:szCs w:val="21"/>
          <w:highlight w:val="none"/>
        </w:rPr>
        <w:t>/</w:t>
      </w:r>
      <w:r>
        <w:rPr>
          <w:rFonts w:hint="eastAsia" w:hAnsi="宋体"/>
          <w:b/>
          <w:color w:val="000000" w:themeColor="text1"/>
          <w:spacing w:val="-6"/>
          <w:szCs w:val="21"/>
          <w:highlight w:val="none"/>
        </w:rPr>
        <w:t>型号</w:t>
      </w:r>
      <w:r>
        <w:rPr>
          <w:rFonts w:hint="eastAsia"/>
          <w:b/>
          <w:color w:val="000000" w:themeColor="text1"/>
          <w:spacing w:val="-6"/>
          <w:szCs w:val="21"/>
          <w:highlight w:val="none"/>
        </w:rPr>
        <w:t>/</w:t>
      </w:r>
      <w:r>
        <w:rPr>
          <w:rFonts w:hint="eastAsia" w:hAnsi="宋体"/>
          <w:b/>
          <w:color w:val="000000" w:themeColor="text1"/>
          <w:spacing w:val="-6"/>
          <w:szCs w:val="21"/>
          <w:highlight w:val="none"/>
        </w:rPr>
        <w:t>类型</w:t>
      </w:r>
      <w:r>
        <w:rPr>
          <w:rFonts w:hint="eastAsia"/>
          <w:b/>
          <w:color w:val="000000" w:themeColor="text1"/>
          <w:spacing w:val="-6"/>
          <w:szCs w:val="21"/>
          <w:highlight w:val="none"/>
        </w:rPr>
        <w:t>/</w:t>
      </w:r>
      <w:r>
        <w:rPr>
          <w:rFonts w:hint="eastAsia" w:hAnsi="宋体"/>
          <w:b/>
          <w:color w:val="000000" w:themeColor="text1"/>
          <w:spacing w:val="-6"/>
          <w:szCs w:val="21"/>
          <w:highlight w:val="none"/>
        </w:rPr>
        <w:t>系列和过程（设计</w:t>
      </w:r>
      <w:r>
        <w:rPr>
          <w:rFonts w:hint="eastAsia"/>
          <w:b/>
          <w:color w:val="000000" w:themeColor="text1"/>
          <w:spacing w:val="-6"/>
          <w:szCs w:val="21"/>
          <w:highlight w:val="none"/>
        </w:rPr>
        <w:t>/</w:t>
      </w:r>
      <w:r>
        <w:rPr>
          <w:rFonts w:hint="eastAsia" w:hAnsi="宋体"/>
          <w:b/>
          <w:color w:val="000000" w:themeColor="text1"/>
          <w:spacing w:val="-6"/>
          <w:szCs w:val="21"/>
          <w:highlight w:val="none"/>
        </w:rPr>
        <w:t>生产</w:t>
      </w:r>
      <w:r>
        <w:rPr>
          <w:rFonts w:hint="eastAsia"/>
          <w:b/>
          <w:color w:val="000000" w:themeColor="text1"/>
          <w:spacing w:val="-6"/>
          <w:szCs w:val="21"/>
          <w:highlight w:val="none"/>
        </w:rPr>
        <w:t>┄┄）</w:t>
      </w:r>
      <w:r>
        <w:rPr>
          <w:rFonts w:hint="eastAsia" w:hAnsi="宋体"/>
          <w:b/>
          <w:color w:val="000000" w:themeColor="text1"/>
          <w:spacing w:val="-6"/>
          <w:szCs w:val="21"/>
          <w:highlight w:val="none"/>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316"/>
        <w:gridCol w:w="1017"/>
        <w:gridCol w:w="5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31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017" w:type="dxa"/>
          </w:tcPr>
          <w:p>
            <w:pPr>
              <w:rPr>
                <w:b/>
                <w:color w:val="000000" w:themeColor="text1"/>
                <w:sz w:val="20"/>
                <w:szCs w:val="20"/>
              </w:rPr>
            </w:pPr>
            <w:r>
              <w:rPr>
                <w:rFonts w:hint="eastAsia"/>
                <w:b/>
                <w:color w:val="000000" w:themeColor="text1"/>
                <w:sz w:val="20"/>
                <w:szCs w:val="20"/>
              </w:rPr>
              <w:t>规格</w:t>
            </w:r>
          </w:p>
        </w:tc>
        <w:tc>
          <w:tcPr>
            <w:tcW w:w="557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ascii="Times New Roman" w:hAnsi="Times New Roman" w:eastAsia="宋体" w:cs="Times New Roman"/>
                <w:b/>
                <w:bCs/>
                <w:kern w:val="2"/>
                <w:sz w:val="21"/>
                <w:szCs w:val="21"/>
                <w:highlight w:val="yellow"/>
                <w:lang w:val="en-US" w:eastAsia="zh-CN" w:bidi="ar-SA"/>
              </w:rPr>
              <w:t>许可范围内食用植物油（菜籽油、大豆油、芝麻油）、食用调和油、半固态（酱）调味料的分装和食品调味油的生产</w:t>
            </w:r>
          </w:p>
        </w:tc>
        <w:tc>
          <w:tcPr>
            <w:tcW w:w="1316" w:type="dxa"/>
          </w:tcPr>
          <w:p>
            <w:pPr>
              <w:rPr>
                <w:b/>
                <w:color w:val="000000" w:themeColor="text1"/>
                <w:sz w:val="20"/>
                <w:szCs w:val="20"/>
                <w:highlight w:val="none"/>
              </w:rPr>
            </w:pPr>
          </w:p>
        </w:tc>
        <w:tc>
          <w:tcPr>
            <w:tcW w:w="1017" w:type="dxa"/>
          </w:tcPr>
          <w:p>
            <w:pPr>
              <w:rPr>
                <w:rFonts w:hint="eastAsia" w:ascii="宋体" w:hAnsi="宋体" w:eastAsia="宋体" w:cs="Times New Roman"/>
                <w:szCs w:val="21"/>
                <w:highlight w:val="none"/>
              </w:rPr>
            </w:pPr>
          </w:p>
        </w:tc>
        <w:tc>
          <w:tcPr>
            <w:tcW w:w="5572" w:type="dxa"/>
          </w:tcPr>
          <w:p>
            <w:pPr>
              <w:rPr>
                <w:rFonts w:hint="eastAsia" w:ascii="宋体" w:hAnsi="宋体" w:eastAsia="宋体" w:cs="Times New Roman"/>
                <w:szCs w:val="21"/>
                <w:highlight w:val="none"/>
              </w:rPr>
            </w:pPr>
            <w:r>
              <w:rPr>
                <w:rFonts w:hint="eastAsia" w:ascii="宋体" w:hAnsi="宋体" w:eastAsia="宋体" w:cs="Times New Roman"/>
                <w:szCs w:val="21"/>
                <w:highlight w:val="none"/>
              </w:rPr>
              <w:t>GB 8955-2016食品安全国家标准CNCA/CTS0008-2008A食用油、油脂及其制品生产企业要求、GB-2716-2018食品安全国家标准 植物油、GB/T 1535-2003大豆油、GB/T 8233-2008芝麻油等</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szCs w:val="21"/>
        </w:rPr>
        <w:t>☑</w:t>
      </w:r>
      <w:r>
        <w:rPr>
          <w:rFonts w:hint="eastAsia"/>
          <w:b/>
          <w:color w:val="000000" w:themeColor="text1"/>
          <w:spacing w:val="-10"/>
          <w:szCs w:val="21"/>
        </w:rPr>
        <w:t>体系运行开始的2020年11月</w:t>
      </w:r>
      <w:bookmarkStart w:id="17" w:name="OLE_LINK1"/>
      <w:r>
        <w:rPr>
          <w:rFonts w:hint="eastAsia"/>
          <w:b/>
          <w:color w:val="000000" w:themeColor="text1"/>
          <w:spacing w:val="-10"/>
          <w:szCs w:val="21"/>
        </w:rPr>
        <w:t>5日</w:t>
      </w:r>
      <w:bookmarkEnd w:id="17"/>
      <w:r>
        <w:rPr>
          <w:rFonts w:hint="eastAsia"/>
          <w:b/>
          <w:color w:val="000000" w:themeColor="text1"/>
          <w:spacing w:val="-10"/>
          <w:szCs w:val="21"/>
        </w:rPr>
        <w:t>至2021年4月</w:t>
      </w:r>
      <w:r>
        <w:rPr>
          <w:rFonts w:hint="eastAsia"/>
          <w:b/>
          <w:color w:val="000000" w:themeColor="text1"/>
          <w:spacing w:val="-10"/>
          <w:szCs w:val="21"/>
          <w:lang w:val="en-US" w:eastAsia="zh-CN"/>
        </w:rPr>
        <w:t>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0" w:firstLineChars="200"/>
              <w:rPr>
                <w:rFonts w:hint="eastAsia"/>
                <w:bCs/>
                <w:color w:val="000000" w:themeColor="text1"/>
                <w:sz w:val="20"/>
                <w:szCs w:val="20"/>
              </w:rPr>
            </w:pPr>
            <w:r>
              <w:rPr>
                <w:rFonts w:hint="eastAsia"/>
                <w:bCs/>
                <w:color w:val="000000" w:themeColor="text1"/>
                <w:sz w:val="20"/>
                <w:szCs w:val="20"/>
              </w:rPr>
              <w:t>组织对内外部因素、相关方需求和期望进行了充分的识别，策划和实施有效。组织确定了体系的边界，基本适用。管理体系8.3条款不适用。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0" w:firstLineChars="200"/>
              <w:rPr>
                <w:rFonts w:hint="eastAsia"/>
                <w:bCs/>
                <w:color w:val="000000" w:themeColor="text1"/>
                <w:sz w:val="20"/>
                <w:szCs w:val="20"/>
              </w:rPr>
            </w:pPr>
            <w:r>
              <w:rPr>
                <w:rFonts w:hint="eastAsia"/>
                <w:bCs/>
                <w:color w:val="000000" w:themeColor="text1"/>
                <w:sz w:val="20"/>
                <w:szCs w:val="20"/>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szCs w:val="21"/>
              </w:rPr>
              <w:t xml:space="preserve"> ☑</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3" w:leftChars="-6" w:firstLine="400" w:firstLineChars="200"/>
              <w:jc w:val="left"/>
              <w:rPr>
                <w:bCs/>
                <w:color w:val="000000" w:themeColor="text1"/>
                <w:sz w:val="20"/>
                <w:szCs w:val="20"/>
              </w:rPr>
            </w:pPr>
            <w:r>
              <w:rPr>
                <w:rFonts w:hint="eastAsia"/>
                <w:bCs/>
                <w:color w:val="000000" w:themeColor="text1"/>
                <w:sz w:val="20"/>
                <w:szCs w:val="20"/>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风险识别与控制策划（QMS）</w:t>
            </w:r>
          </w:p>
          <w:p>
            <w:pPr>
              <w:spacing w:line="240" w:lineRule="exact"/>
              <w:rPr>
                <w:rFonts w:hint="eastAsia"/>
                <w:bCs/>
                <w:color w:val="000000" w:themeColor="text1"/>
              </w:rPr>
            </w:pPr>
            <w:r>
              <w:rPr>
                <w:rFonts w:hint="eastAsia"/>
                <w:bCs/>
                <w:color w:val="000000" w:themeColor="text1"/>
                <w:sz w:val="20"/>
                <w:szCs w:val="20"/>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Cs/>
                <w:color w:val="000000" w:themeColor="text1"/>
                <w:sz w:val="20"/>
                <w:szCs w:val="20"/>
                <w:u w:val="single"/>
              </w:rPr>
            </w:pPr>
            <w:r>
              <w:rPr>
                <w:rFonts w:hint="eastAsia" w:ascii="宋体" w:hAnsi="宋体"/>
                <w:b/>
                <w:color w:val="000000" w:themeColor="text1"/>
                <w:sz w:val="20"/>
                <w:szCs w:val="20"/>
              </w:rPr>
              <w:t>质量管理</w:t>
            </w:r>
            <w:r>
              <w:rPr>
                <w:rFonts w:hint="eastAsia" w:ascii="宋体" w:hAnsi="宋体"/>
                <w:b/>
                <w:color w:val="000000" w:themeColor="text1"/>
                <w:sz w:val="20"/>
                <w:szCs w:val="20"/>
                <w:highlight w:val="yellow"/>
              </w:rPr>
              <w:t>体系过程有：</w:t>
            </w:r>
            <w:r>
              <w:rPr>
                <w:rFonts w:hint="eastAsia" w:ascii="Times New Roman" w:hAnsi="Times New Roman" w:eastAsia="宋体" w:cs="Times New Roman"/>
                <w:b/>
                <w:bCs/>
                <w:kern w:val="2"/>
                <w:sz w:val="21"/>
                <w:szCs w:val="21"/>
                <w:highlight w:val="yellow"/>
                <w:lang w:val="en-US" w:eastAsia="zh-CN" w:bidi="ar-SA"/>
              </w:rPr>
              <w:t>许可范围内食用植物油（菜籽油、大豆油、芝麻油）、食用调和油、半固态（酱）调味料的分装和食品调味油的生产</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 xml:space="preserve"> </w:t>
            </w:r>
            <w:r>
              <w:rPr>
                <w:rFonts w:hint="eastAsia" w:ascii="宋体" w:hAnsi="宋体"/>
                <w:bCs/>
                <w:color w:val="000000" w:themeColor="text1"/>
                <w:sz w:val="20"/>
                <w:szCs w:val="20"/>
                <w:u w:val="single"/>
              </w:rPr>
              <w:t>调配过程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w:t>
            </w:r>
            <w:r>
              <w:rPr>
                <w:rFonts w:hint="eastAsia" w:ascii="宋体" w:hAnsi="宋体"/>
                <w:b/>
                <w:color w:val="000000" w:themeColor="text1"/>
                <w:sz w:val="20"/>
                <w:szCs w:val="20"/>
                <w:u w:val="single"/>
              </w:rPr>
              <w:t xml:space="preserve"> </w:t>
            </w:r>
            <w:r>
              <w:rPr>
                <w:rFonts w:ascii="宋体" w:hAnsi="宋体"/>
                <w:b/>
                <w:color w:val="000000" w:themeColor="text1"/>
                <w:sz w:val="20"/>
                <w:szCs w:val="20"/>
                <w:u w:val="single"/>
              </w:rPr>
              <w:t xml:space="preserve">   </w:t>
            </w:r>
            <w:r>
              <w:rPr>
                <w:rFonts w:hint="eastAsia" w:ascii="宋体" w:hAnsi="宋体"/>
                <w:bCs/>
                <w:color w:val="000000" w:themeColor="text1"/>
                <w:sz w:val="20"/>
                <w:szCs w:val="20"/>
                <w:u w:val="single"/>
              </w:rPr>
              <w:t xml:space="preserve">调配过程 </w:t>
            </w:r>
            <w:r>
              <w:rPr>
                <w:rFonts w:ascii="宋体" w:hAnsi="宋体"/>
                <w:bCs/>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1028" o:spid="_x0000_s1028"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Cs/>
                <w:color w:val="000000" w:themeColor="text1"/>
                <w:sz w:val="20"/>
                <w:szCs w:val="20"/>
              </w:rPr>
              <w:t xml:space="preserve">  8.3 </w:t>
            </w:r>
            <w:r>
              <w:rPr>
                <w:rFonts w:hint="eastAsia" w:ascii="宋体" w:hAnsi="宋体"/>
                <w:b/>
                <w:color w:val="000000" w:themeColor="text1"/>
                <w:sz w:val="20"/>
                <w:szCs w:val="20"/>
              </w:rPr>
              <w:t xml:space="preserve">    ，不适用理由：</w:t>
            </w:r>
            <w:r>
              <w:rPr>
                <w:rFonts w:hint="eastAsia" w:ascii="宋体" w:hAnsi="宋体"/>
                <w:bCs/>
                <w:color w:val="000000" w:themeColor="text1"/>
                <w:sz w:val="20"/>
                <w:szCs w:val="20"/>
              </w:rPr>
              <w:t>公司食用植物油、调味料（半固态、调味油）的生产</w:t>
            </w:r>
            <w:r>
              <w:rPr>
                <w:rFonts w:hint="eastAsia" w:ascii="宋体" w:hAnsi="宋体"/>
                <w:bCs/>
                <w:color w:val="000000" w:themeColor="text1"/>
                <w:sz w:val="20"/>
                <w:szCs w:val="20"/>
                <w:u w:val="single"/>
              </w:rPr>
              <w:t xml:space="preserve">依据对应的国家标准进行，按照固定的工艺流程生产，因此标准8.3条款“产品和服务的设计和开发”要求不适用。公司确保不适用的质量管理体系的产品和服务的设计和开发要求，不影响组织确保产品和服务合格以及增强顾客满意的能力或责任。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szCs w:val="21"/>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szCs w:val="21"/>
              </w:rPr>
              <w:t>☑</w:t>
            </w:r>
            <w:r>
              <w:rPr>
                <w:rFonts w:hint="eastAsia" w:ascii="宋体" w:hAnsi="宋体"/>
                <w:b/>
                <w:color w:val="000000" w:themeColor="text1"/>
                <w:szCs w:val="21"/>
              </w:rPr>
              <w:t>产品/服务□环境因素□危险源，</w:t>
            </w:r>
            <w:r>
              <w:rPr>
                <w:rFonts w:hint="eastAsia" w:ascii="宋体" w:hAnsi="宋体"/>
                <w:szCs w:val="21"/>
              </w:rPr>
              <w:t>☑</w:t>
            </w:r>
            <w:r>
              <w:rPr>
                <w:rFonts w:hint="eastAsia" w:ascii="宋体" w:hAnsi="宋体"/>
                <w:b/>
                <w:color w:val="000000" w:themeColor="text1"/>
                <w:szCs w:val="21"/>
              </w:rPr>
              <w:t>确定 □未确定法律法规要求的具体条款，</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Cs/>
                <w:color w:val="000000" w:themeColor="text1"/>
                <w:szCs w:val="21"/>
              </w:rPr>
              <w:t>培训、会议、标语</w:t>
            </w:r>
          </w:p>
          <w:p>
            <w:pPr>
              <w:pStyle w:val="10"/>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ind w:firstLine="210" w:firstLineChars="100"/>
              <w:rPr>
                <w:rFonts w:ascii="宋体" w:hAnsi="宋体"/>
                <w:bCs/>
                <w:color w:val="000000" w:themeColor="text1"/>
              </w:rPr>
            </w:pPr>
            <w:r>
              <w:rPr>
                <w:rFonts w:hint="eastAsia" w:ascii="宋体" w:hAnsi="宋体"/>
                <w:bCs/>
                <w:color w:val="000000" w:themeColor="text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p>
          <w:p>
            <w:pPr>
              <w:spacing w:line="240" w:lineRule="exact"/>
              <w:ind w:firstLine="210" w:firstLineChars="100"/>
              <w:rPr>
                <w:rFonts w:hint="eastAsia" w:ascii="宋体" w:hAnsi="宋体" w:eastAsia="宋体" w:cs="Times New Roman"/>
                <w:bCs/>
                <w:color w:val="000000" w:themeColor="text1"/>
              </w:rPr>
            </w:pPr>
          </w:p>
          <w:p>
            <w:pPr>
              <w:spacing w:line="240" w:lineRule="exact"/>
              <w:ind w:firstLine="210" w:firstLineChars="100"/>
              <w:rPr>
                <w:rFonts w:hint="eastAsia" w:ascii="宋体" w:hAnsi="宋体" w:eastAsia="宋体" w:cs="Times New Roman"/>
                <w:bCs/>
                <w:color w:val="000000" w:themeColor="text1"/>
              </w:rPr>
            </w:pPr>
            <w:r>
              <w:rPr>
                <w:rFonts w:hint="eastAsia" w:ascii="宋体" w:hAnsi="宋体" w:eastAsia="宋体" w:cs="Times New Roman"/>
                <w:bCs/>
                <w:color w:val="000000" w:themeColor="text1"/>
              </w:rPr>
              <w:t xml:space="preserve">质量目标： </w:t>
            </w:r>
          </w:p>
          <w:p>
            <w:pPr>
              <w:spacing w:line="240" w:lineRule="exact"/>
              <w:ind w:firstLine="210" w:firstLineChars="100"/>
              <w:rPr>
                <w:rFonts w:hint="eastAsia" w:ascii="宋体" w:hAnsi="宋体" w:eastAsia="宋体" w:cs="Times New Roman"/>
                <w:bCs/>
                <w:color w:val="000000" w:themeColor="text1"/>
              </w:rPr>
            </w:pPr>
            <w:r>
              <w:rPr>
                <w:rFonts w:hint="eastAsia" w:ascii="宋体" w:hAnsi="宋体" w:eastAsia="宋体" w:cs="Times New Roman"/>
                <w:bCs/>
                <w:color w:val="000000" w:themeColor="text1"/>
                <w:lang w:val="en-US" w:eastAsia="zh-CN"/>
              </w:rPr>
              <w:t xml:space="preserve"> </w:t>
            </w:r>
            <w:r>
              <w:rPr>
                <w:rFonts w:hint="eastAsia" w:ascii="宋体" w:hAnsi="宋体" w:eastAsia="宋体" w:cs="Times New Roman"/>
                <w:bCs/>
                <w:color w:val="000000" w:themeColor="text1"/>
              </w:rPr>
              <w:t xml:space="preserve">1、产品一次交检合格率95%以上； </w:t>
            </w:r>
          </w:p>
          <w:p>
            <w:pPr>
              <w:spacing w:line="240" w:lineRule="exact"/>
              <w:ind w:firstLine="210" w:firstLineChars="100"/>
              <w:rPr>
                <w:rFonts w:hint="eastAsia" w:ascii="宋体" w:hAnsi="宋体" w:eastAsia="宋体" w:cs="Times New Roman"/>
                <w:bCs/>
                <w:color w:val="000000" w:themeColor="text1"/>
                <w:lang w:val="en-US" w:eastAsia="zh-CN"/>
              </w:rPr>
            </w:pPr>
            <w:r>
              <w:rPr>
                <w:rFonts w:hint="eastAsia" w:ascii="宋体" w:hAnsi="宋体" w:eastAsia="宋体" w:cs="Times New Roman"/>
                <w:bCs/>
                <w:color w:val="000000" w:themeColor="text1"/>
              </w:rPr>
              <w:t xml:space="preserve"> 2、顾客满意</w:t>
            </w:r>
            <w:r>
              <w:rPr>
                <w:rFonts w:hint="eastAsia" w:ascii="宋体" w:hAnsi="宋体" w:eastAsia="宋体" w:cs="Times New Roman"/>
                <w:bCs/>
                <w:color w:val="000000" w:themeColor="text1"/>
                <w:lang w:eastAsia="zh-CN"/>
              </w:rPr>
              <w:t>率</w:t>
            </w:r>
            <w:r>
              <w:rPr>
                <w:rFonts w:hint="eastAsia" w:ascii="宋体" w:hAnsi="宋体" w:eastAsia="宋体" w:cs="Times New Roman"/>
                <w:bCs/>
                <w:color w:val="000000" w:themeColor="text1"/>
              </w:rPr>
              <w:t>90</w:t>
            </w:r>
            <w:r>
              <w:rPr>
                <w:rFonts w:hint="eastAsia" w:ascii="宋体" w:hAnsi="宋体" w:eastAsia="宋体" w:cs="Times New Roman"/>
                <w:bCs/>
                <w:color w:val="000000" w:themeColor="text1"/>
                <w:lang w:val="en-US" w:eastAsia="zh-CN"/>
              </w:rPr>
              <w:t>%</w:t>
            </w:r>
            <w:r>
              <w:rPr>
                <w:rFonts w:hint="eastAsia" w:ascii="宋体" w:hAnsi="宋体" w:eastAsia="宋体" w:cs="Times New Roman"/>
                <w:bCs/>
                <w:color w:val="000000" w:themeColor="text1"/>
              </w:rPr>
              <w:t>以上</w:t>
            </w:r>
            <w:r>
              <w:rPr>
                <w:rFonts w:hint="eastAsia" w:ascii="宋体" w:hAnsi="宋体" w:eastAsia="宋体" w:cs="Times New Roman"/>
                <w:bCs/>
                <w:color w:val="000000" w:themeColor="text1"/>
                <w:lang w:val="en-US" w:eastAsia="zh-CN"/>
              </w:rPr>
              <w:t>；</w:t>
            </w:r>
          </w:p>
          <w:p>
            <w:pPr>
              <w:spacing w:line="240" w:lineRule="exact"/>
              <w:ind w:firstLine="210" w:firstLineChars="100"/>
              <w:rPr>
                <w:rFonts w:hint="eastAsia" w:ascii="宋体" w:hAnsi="宋体" w:eastAsia="宋体" w:cs="Times New Roman"/>
                <w:bCs/>
                <w:color w:val="000000" w:themeColor="text1"/>
                <w:lang w:val="en-US" w:eastAsia="zh-CN"/>
              </w:rPr>
            </w:pPr>
            <w:r>
              <w:rPr>
                <w:rFonts w:hint="eastAsia" w:ascii="宋体" w:hAnsi="宋体" w:eastAsia="宋体" w:cs="Times New Roman"/>
                <w:bCs/>
                <w:color w:val="000000" w:themeColor="text1"/>
                <w:lang w:val="en-US" w:eastAsia="zh-CN"/>
              </w:rPr>
              <w:t xml:space="preserve"> 3</w:t>
            </w:r>
            <w:r>
              <w:rPr>
                <w:rFonts w:hint="eastAsia" w:ascii="宋体" w:hAnsi="宋体" w:eastAsia="宋体" w:cs="Times New Roman"/>
                <w:bCs/>
                <w:color w:val="000000" w:themeColor="text1"/>
              </w:rPr>
              <w:t>、</w:t>
            </w:r>
            <w:r>
              <w:rPr>
                <w:rFonts w:hint="eastAsia" w:ascii="宋体" w:hAnsi="宋体" w:eastAsia="宋体" w:cs="Times New Roman"/>
                <w:bCs/>
                <w:color w:val="000000" w:themeColor="text1"/>
                <w:lang w:val="en-US" w:eastAsia="zh-CN"/>
              </w:rPr>
              <w:t>关键控制点受控率100%；</w:t>
            </w:r>
          </w:p>
          <w:p>
            <w:pPr>
              <w:spacing w:line="240" w:lineRule="exact"/>
              <w:ind w:firstLine="210" w:firstLineChars="100"/>
              <w:rPr>
                <w:rFonts w:hint="eastAsia" w:ascii="宋体" w:hAnsi="宋体"/>
                <w:bCs/>
                <w:color w:val="000000" w:themeColor="text1"/>
              </w:rPr>
            </w:pPr>
            <w:r>
              <w:rPr>
                <w:rFonts w:hint="eastAsia" w:ascii="宋体" w:hAnsi="宋体" w:eastAsia="宋体" w:cs="Times New Roman"/>
                <w:bCs/>
                <w:color w:val="000000" w:themeColor="text1"/>
                <w:lang w:val="en-US" w:eastAsia="zh-CN"/>
              </w:rPr>
              <w:t xml:space="preserve"> 4、客户投诉处理率100%</w:t>
            </w:r>
            <w:r>
              <w:rPr>
                <w:rFonts w:hint="eastAsia" w:ascii="宋体" w:hAnsi="宋体" w:eastAsia="宋体" w:cs="Times New Roman"/>
                <w:bCs/>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00" w:firstLineChars="200"/>
              <w:rPr>
                <w:rFonts w:ascii="宋体" w:hAnsi="宋体"/>
                <w:b/>
                <w:color w:val="000000" w:themeColor="text1"/>
                <w:sz w:val="20"/>
                <w:szCs w:val="20"/>
              </w:rPr>
            </w:pPr>
            <w:r>
              <w:rPr>
                <w:rFonts w:hint="eastAsia" w:ascii="宋体" w:hAnsi="宋体"/>
                <w:bCs/>
                <w:color w:val="000000" w:themeColor="text1"/>
                <w:sz w:val="20"/>
                <w:szCs w:val="20"/>
              </w:rPr>
              <w:t>公司按照申请认证的标准要求，建立并形成了文件化的质量管理体系文件，体系文件对管理体系各过程进行了识别确定、明确了各要素间的相互关系及其管控要求。公司体系文件于2020年11月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00" w:firstLineChars="200"/>
              <w:rPr>
                <w:rFonts w:hint="eastAsia" w:ascii="宋体" w:hAnsi="宋体"/>
                <w:bCs/>
                <w:color w:val="000000" w:themeColor="text1"/>
                <w:sz w:val="20"/>
                <w:szCs w:val="20"/>
              </w:rPr>
            </w:pPr>
            <w:r>
              <w:rPr>
                <w:rFonts w:hint="eastAsia" w:ascii="宋体" w:hAnsi="宋体"/>
                <w:bCs/>
                <w:color w:val="000000" w:themeColor="text1"/>
                <w:sz w:val="20"/>
                <w:szCs w:val="20"/>
              </w:rPr>
              <w:t>组织按管理体系需求配置了充足的人员、设施、监视和测量设备等资源，并建立维持了产品的生产及相关服务运行环境，可以维持管理体系的正常运行。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color w:val="000000" w:themeColor="text1"/>
                <w:sz w:val="20"/>
                <w:szCs w:val="20"/>
              </w:rPr>
              <w:t>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lang w:val="en-US" w:eastAsia="zh-CN"/>
              </w:rPr>
              <w:t xml:space="preserve">  </w:t>
            </w:r>
            <w:r>
              <w:rPr>
                <w:rFonts w:hint="eastAsia" w:ascii="宋体" w:hAnsi="宋体"/>
                <w:bCs/>
                <w:iCs/>
                <w:szCs w:val="22"/>
                <w:highlight w:val="none"/>
                <w:lang w:val="en-US" w:eastAsia="zh-CN"/>
              </w:rPr>
              <w:t>公司厂房面积3000平方米，办公室面积300平方米，主要生产设备包括：微电脑包装机、直线灌装机、易拉罐封口机、全自动贴标机、打包机、捆扎机等21台套。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0" w:firstLineChars="200"/>
              <w:rPr>
                <w:rFonts w:ascii="宋体" w:hAnsi="宋体"/>
                <w:bCs/>
                <w:color w:val="000000" w:themeColor="text1"/>
                <w:sz w:val="20"/>
                <w:szCs w:val="20"/>
              </w:rPr>
            </w:pPr>
            <w:r>
              <w:rPr>
                <w:rFonts w:hint="eastAsia" w:ascii="宋体" w:hAnsi="宋体"/>
                <w:bCs/>
                <w:color w:val="000000" w:themeColor="text1"/>
                <w:sz w:val="20"/>
                <w:szCs w:val="20"/>
              </w:rPr>
              <w:t>车间内设备布置合理，通道畅通，照明设施齐全，均配备了消防设施等设施。办公室明亮，作业场所光线较充足。每月由生产技术部对工作环境进行定期检查。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240" w:lineRule="exact"/>
              <w:rPr>
                <w:rFonts w:hint="default" w:ascii="宋体" w:hAnsi="宋体" w:eastAsia="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 xml:space="preserve">  </w:t>
            </w:r>
            <w:r>
              <w:rPr>
                <w:rFonts w:hint="eastAsia"/>
                <w:highlight w:val="none"/>
                <w:lang w:val="en-US" w:eastAsia="zh-CN"/>
              </w:rPr>
              <w:t>电子天平、温度计、手提式压力蒸汽灭菌器、量筒、数显酸度计、比较测色仪等，能提供在用检具的校准证书，详见附件。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hint="eastAsia" w:ascii="宋体" w:hAnsi="宋体"/>
                <w:bCs/>
                <w:color w:val="000000" w:themeColor="text1"/>
                <w:sz w:val="20"/>
                <w:szCs w:val="20"/>
              </w:rPr>
            </w:pPr>
            <w:r>
              <w:rPr>
                <w:rFonts w:hint="eastAsia" w:ascii="宋体" w:hAnsi="宋体"/>
                <w:bCs/>
                <w:color w:val="000000" w:themeColor="text1"/>
                <w:sz w:val="20"/>
                <w:szCs w:val="20"/>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bCs/>
                <w:color w:val="000000" w:themeColor="text1"/>
                <w:sz w:val="20"/>
                <w:szCs w:val="20"/>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Cs/>
                <w:color w:val="000000" w:themeColor="text1"/>
                <w:sz w:val="20"/>
                <w:szCs w:val="20"/>
              </w:rPr>
            </w:pPr>
            <w:r>
              <w:rPr>
                <w:rFonts w:hint="eastAsia"/>
                <w:bCs/>
                <w:color w:val="000000" w:themeColor="text1"/>
                <w:sz w:val="20"/>
                <w:szCs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Cs/>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bCs/>
                <w:color w:val="000000" w:themeColor="text1"/>
                <w:sz w:val="20"/>
                <w:szCs w:val="20"/>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bCs/>
                <w:color w:val="000000" w:themeColor="text1"/>
                <w:sz w:val="20"/>
                <w:szCs w:val="20"/>
              </w:rPr>
              <w:t>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bCs/>
                <w:color w:val="000000" w:themeColor="text1"/>
                <w:sz w:val="20"/>
                <w:szCs w:val="20"/>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00" w:firstLineChars="200"/>
              <w:rPr>
                <w:bCs/>
                <w:color w:val="000000" w:themeColor="text1"/>
                <w:sz w:val="20"/>
                <w:szCs w:val="20"/>
              </w:rPr>
            </w:pPr>
            <w:r>
              <w:rPr>
                <w:rFonts w:hint="eastAsia"/>
                <w:bCs/>
                <w:color w:val="000000" w:themeColor="text1"/>
                <w:sz w:val="20"/>
                <w:szCs w:val="20"/>
              </w:rPr>
              <w:t>公司在体系文件中，规定了公司各管理层次（如生产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0" w:firstLineChars="100"/>
              <w:rPr>
                <w:rFonts w:hint="eastAsia" w:ascii="Times New Roman" w:hAnsi="Times New Roman" w:eastAsia="宋体" w:cs="Times New Roman"/>
                <w:bCs/>
                <w:color w:val="000000" w:themeColor="text1"/>
                <w:sz w:val="20"/>
                <w:szCs w:val="20"/>
              </w:rPr>
            </w:pPr>
            <w:r>
              <w:rPr>
                <w:rFonts w:hint="eastAsia"/>
                <w:bCs/>
                <w:color w:val="000000" w:themeColor="text1"/>
                <w:sz w:val="20"/>
                <w:szCs w:val="20"/>
              </w:rPr>
              <w:t>制定并实施了产品检验控制规定，规定了公司各管理层次和品质检测部门在各阶段对产品服务质量实施检查与验</w:t>
            </w:r>
            <w:r>
              <w:rPr>
                <w:rFonts w:hint="eastAsia" w:ascii="Times New Roman" w:hAnsi="Times New Roman" w:eastAsia="宋体" w:cs="Times New Roman"/>
                <w:bCs/>
                <w:color w:val="000000" w:themeColor="text1"/>
                <w:sz w:val="20"/>
                <w:szCs w:val="20"/>
              </w:rPr>
              <w:t>收的管理要求。内容基本具备全面性、系统性及可操作性。质量检查与验收均在出厂前予以实现，范围包括：过程、最终产品。以此保证持续向顾客稳定提供稳定合格的产品。</w:t>
            </w:r>
          </w:p>
          <w:p>
            <w:pPr>
              <w:spacing w:line="240" w:lineRule="exact"/>
              <w:ind w:firstLine="200" w:firstLineChars="100"/>
              <w:rPr>
                <w:b/>
                <w:color w:val="000000" w:themeColor="text1"/>
                <w:sz w:val="20"/>
                <w:szCs w:val="20"/>
              </w:rPr>
            </w:pPr>
            <w:r>
              <w:rPr>
                <w:rFonts w:hint="eastAsia" w:ascii="Times New Roman" w:hAnsi="Times New Roman" w:eastAsia="宋体" w:cs="Times New Roman"/>
                <w:bCs/>
                <w:color w:val="000000" w:themeColor="text1"/>
                <w:sz w:val="20"/>
                <w:szCs w:val="20"/>
                <w:lang w:val="en-US" w:eastAsia="zh-CN"/>
              </w:rPr>
              <w:t>提供第三方出具的型式检验报告。</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r>
              <w:rPr>
                <w:rFonts w:hint="eastAsia"/>
                <w:bCs/>
                <w:color w:val="000000" w:themeColor="text1"/>
                <w:sz w:val="20"/>
                <w:szCs w:val="20"/>
              </w:rPr>
              <w:t>验收规范、验收记录等</w:t>
            </w:r>
            <w:r>
              <w:rPr>
                <w:rFonts w:hint="eastAsia"/>
                <w:b/>
                <w:color w:val="000000" w:themeColor="text1"/>
                <w:sz w:val="20"/>
                <w:szCs w:val="20"/>
              </w:rPr>
              <w:t>。</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00" w:firstLineChars="200"/>
              <w:rPr>
                <w:bCs/>
                <w:color w:val="000000" w:themeColor="text1"/>
                <w:sz w:val="20"/>
                <w:szCs w:val="20"/>
              </w:rPr>
            </w:pPr>
            <w:r>
              <w:rPr>
                <w:rFonts w:hint="eastAsia"/>
                <w:bCs/>
                <w:color w:val="000000" w:themeColor="text1"/>
                <w:sz w:val="20"/>
                <w:szCs w:val="20"/>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eastAsia="宋体"/>
                <w:b/>
                <w:color w:val="000000" w:themeColor="text1"/>
                <w:spacing w:val="-4"/>
                <w:sz w:val="20"/>
                <w:szCs w:val="20"/>
                <w:lang w:val="en-US" w:eastAsia="zh-CN"/>
              </w:rPr>
            </w:pPr>
            <w:r>
              <w:rPr>
                <w:rFonts w:hint="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提供压力表、安全阀的检定证书。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300" w:firstLineChars="150"/>
              <w:rPr>
                <w:bCs/>
                <w:color w:val="000000" w:themeColor="text1"/>
                <w:sz w:val="20"/>
                <w:szCs w:val="20"/>
              </w:rPr>
            </w:pPr>
            <w:r>
              <w:rPr>
                <w:rFonts w:hint="eastAsia"/>
                <w:bCs/>
                <w:color w:val="000000" w:themeColor="text1"/>
                <w:sz w:val="20"/>
                <w:szCs w:val="20"/>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2020.12月-2021.2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85" w:leftChars="88" w:firstLine="186" w:firstLineChars="93"/>
              <w:rPr>
                <w:rFonts w:hint="eastAsia"/>
                <w:bCs/>
                <w:color w:val="000000" w:themeColor="text1"/>
                <w:sz w:val="20"/>
                <w:szCs w:val="20"/>
              </w:rPr>
            </w:pPr>
            <w:r>
              <w:rPr>
                <w:rFonts w:hint="eastAsia"/>
                <w:bCs/>
                <w:color w:val="000000" w:themeColor="text1"/>
                <w:sz w:val="20"/>
                <w:szCs w:val="20"/>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2021年2月实施，满意度评价98%，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ind w:firstLine="400" w:firstLineChars="200"/>
              <w:rPr>
                <w:bCs/>
                <w:color w:val="000000" w:themeColor="text1"/>
                <w:sz w:val="20"/>
                <w:szCs w:val="20"/>
              </w:rPr>
            </w:pPr>
            <w:r>
              <w:rPr>
                <w:rFonts w:hint="eastAsia"/>
                <w:bCs/>
                <w:color w:val="000000" w:themeColor="text1"/>
                <w:sz w:val="20"/>
                <w:szCs w:val="20"/>
              </w:rPr>
              <w:t>建立有《内部审核控制程序》，规定了内审频次一年一次，内审时间：2021年3月1日，拟定了审核实施表，明确了内审范围，内审人员经培训合格上岗，能力满足要求，未出现审核本部门情况，内审不符合项1项， 涉及行政部不符合标准7.5条款，针对该不符合项，已及时采取纠正措施后，经内审员验证关闭。内审的有效性需要改善。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200" w:firstLineChars="100"/>
              <w:rPr>
                <w:bCs/>
                <w:color w:val="000000" w:themeColor="text1"/>
                <w:sz w:val="20"/>
                <w:szCs w:val="20"/>
              </w:rPr>
            </w:pPr>
            <w:r>
              <w:rPr>
                <w:rFonts w:hint="eastAsia"/>
                <w:bCs/>
                <w:color w:val="000000" w:themeColor="text1"/>
                <w:sz w:val="20"/>
                <w:szCs w:val="20"/>
              </w:rPr>
              <w:t>管理评审频次为一年一次、本次管理评审于2021年3月15日由总经理主持完成、提供主要输入材料有各部门总结，输入信息基本充分和满足要求。输出见“管理评审报告”, 做出了管理体系基本适宜、充分和有效的评审结论。管理评审的输出不明确具体，需要改善。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numPr>
                <w:ilvl w:val="0"/>
                <w:numId w:val="3"/>
              </w:numPr>
              <w:spacing w:line="240" w:lineRule="exact"/>
              <w:ind w:left="0" w:leftChars="0" w:firstLine="0" w:firstLineChars="0"/>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exact"/>
              <w:ind w:leftChars="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Cs/>
                <w:color w:val="000000" w:themeColor="text1"/>
                <w:sz w:val="20"/>
                <w:szCs w:val="20"/>
              </w:rPr>
            </w:pPr>
            <w:r>
              <w:rPr>
                <w:rFonts w:hint="eastAsia"/>
                <w:bCs/>
                <w:color w:val="000000" w:themeColor="text1"/>
                <w:sz w:val="20"/>
                <w:szCs w:val="20"/>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r>
              <w:rPr>
                <w:rFonts w:hint="eastAsia"/>
                <w:bCs/>
                <w:color w:val="000000" w:themeColor="text1"/>
                <w:spacing w:val="-20"/>
                <w:sz w:val="20"/>
                <w:szCs w:val="20"/>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Cs/>
                <w:color w:val="000000" w:themeColor="text1"/>
                <w:spacing w:val="-20"/>
                <w:sz w:val="20"/>
                <w:szCs w:val="20"/>
              </w:rPr>
            </w:pPr>
            <w:r>
              <w:rPr>
                <w:rFonts w:hint="eastAsia"/>
                <w:bCs/>
                <w:color w:val="000000" w:themeColor="text1"/>
                <w:spacing w:val="-20"/>
                <w:sz w:val="20"/>
                <w:szCs w:val="20"/>
              </w:rPr>
              <w:t>一阶段审核不符合情况：经验证未出现类视情况。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5. 上次不符合的整改情况（再认证填写）</w:t>
            </w:r>
          </w:p>
        </w:tc>
      </w:tr>
    </w:tbl>
    <w:p>
      <w:pPr>
        <w:spacing w:line="300" w:lineRule="exact"/>
        <w:rPr>
          <w:b/>
          <w:color w:val="000000" w:themeColor="text1"/>
          <w:sz w:val="26"/>
          <w:szCs w:val="26"/>
          <w:highlight w:val="none"/>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61312;mso-width-relative:page;mso-height-relative:page;" coordsize="21600,21600" o:allowincell="f">
            <v:path arrowok="t"/>
            <v:fill focussize="0,0"/>
            <v:stroke/>
            <v:imagedata o:title=""/>
            <o:lock v:ext="edit"/>
          </v:line>
        </w:pict>
      </w:r>
      <w:r>
        <w:rPr>
          <w:rFonts w:hint="eastAsia"/>
          <w:b/>
          <w:color w:val="000000" w:themeColor="text1"/>
          <w:highlight w:val="none"/>
        </w:rPr>
        <w:t>严重不符合0项，一般不符合1项，观察项项分布在部门条款，分布见附件。（Q/J/E/S分开填写）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9" w:leftChars="-337" w:hanging="569" w:hangingChars="271"/>
        <w:rPr>
          <w:rFonts w:ascii="宋体" w:hAnsi="宋体"/>
          <w:b/>
          <w:color w:val="000000" w:themeColor="text1"/>
          <w:szCs w:val="21"/>
        </w:rPr>
      </w:pPr>
      <w:r>
        <w:rPr>
          <w:rFonts w:hint="eastAsia" w:ascii="宋体" w:hAnsi="宋体"/>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ascii="宋体" w:hAnsi="宋体"/>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szCs w:val="21"/>
                <w:lang w:eastAsia="zh-CN"/>
              </w:rPr>
              <w:t>□</w:t>
            </w:r>
            <w:r>
              <w:rPr>
                <w:rFonts w:hint="eastAsia"/>
                <w:b/>
                <w:color w:val="000000" w:themeColor="text1"/>
              </w:rPr>
              <w:t>审核范围适宜，与申请范围一致</w:t>
            </w:r>
            <w:bookmarkStart w:id="19" w:name="_GoBack"/>
            <w:bookmarkEnd w:id="19"/>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w:t>
            </w:r>
            <w:r>
              <w:rPr>
                <w:rFonts w:ascii="宋体" w:hAnsi="宋体"/>
                <w:b/>
                <w:color w:val="000000" w:themeColor="text1"/>
                <w:highlight w:val="yellow"/>
              </w:rPr>
              <w:t>MS:</w:t>
            </w:r>
            <w:r>
              <w:rPr>
                <w:rFonts w:hint="eastAsia"/>
                <w:highlight w:val="yellow"/>
              </w:rPr>
              <w:t xml:space="preserve"> </w:t>
            </w:r>
            <w:r>
              <w:rPr>
                <w:rFonts w:hint="eastAsia" w:ascii="Times New Roman" w:hAnsi="Times New Roman" w:eastAsia="宋体" w:cs="Times New Roman"/>
                <w:b/>
                <w:bCs/>
                <w:kern w:val="2"/>
                <w:sz w:val="21"/>
                <w:szCs w:val="21"/>
                <w:highlight w:val="yellow"/>
                <w:lang w:val="en-US" w:eastAsia="zh-CN" w:bidi="ar-SA"/>
              </w:rPr>
              <w:t>许可范围内食用植物油（菜籽油、大豆油、芝麻油）、食用调和油、半固态（酱）调味料的分装和食品调味油的生产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jc w:val="left"/>
        <w:rPr>
          <w:rFonts w:hint="eastAsia" w:ascii="Times New Roman" w:hAnsi="Times New Roman" w:eastAsia="宋体" w:cs="Times New Roman"/>
          <w:b/>
          <w:color w:val="000000" w:themeColor="text1"/>
          <w:kern w:val="2"/>
          <w:sz w:val="26"/>
          <w:szCs w:val="26"/>
          <w:lang w:val="en-US" w:eastAsia="zh-CN" w:bidi="ar-SA"/>
        </w:rPr>
      </w:pPr>
      <w:r>
        <w:rPr>
          <w:rFonts w:hint="eastAsia" w:ascii="Times New Roman" w:hAnsi="Times New Roman" w:eastAsia="宋体" w:cs="Times New Roman"/>
          <w:b/>
          <w:color w:val="000000" w:themeColor="text1"/>
          <w:kern w:val="2"/>
          <w:sz w:val="26"/>
          <w:szCs w:val="26"/>
          <w:lang w:val="en-US" w:eastAsia="zh-CN" w:bidi="ar-SA"/>
        </w:rPr>
        <w:t xml:space="preserve">十一、审核基于对可获得信息的抽样过程的免责声明；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63" w:leftChars="-405" w:hanging="687" w:hangingChars="326"/>
        <w:rPr>
          <w:b/>
          <w:color w:val="000000" w:themeColor="text1"/>
          <w:sz w:val="16"/>
          <w:szCs w:val="16"/>
        </w:rPr>
      </w:pPr>
      <w:r>
        <w:rPr>
          <w:rFonts w:hint="eastAsia"/>
          <w:b/>
          <w:color w:val="000000" w:themeColor="text1"/>
          <w:szCs w:val="21"/>
        </w:rPr>
        <w:drawing>
          <wp:anchor distT="0" distB="0" distL="114300" distR="114300" simplePos="0" relativeHeight="251659264" behindDoc="0" locked="0" layoutInCell="1" allowOverlap="1">
            <wp:simplePos x="0" y="0"/>
            <wp:positionH relativeFrom="column">
              <wp:posOffset>1704975</wp:posOffset>
            </wp:positionH>
            <wp:positionV relativeFrom="paragraph">
              <wp:posOffset>296545</wp:posOffset>
            </wp:positionV>
            <wp:extent cx="552450" cy="391160"/>
            <wp:effectExtent l="0" t="0" r="0" b="8255"/>
            <wp:wrapSquare wrapText="bothSides"/>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6"/>
                    <a:stretch>
                      <a:fillRect/>
                    </a:stretch>
                  </pic:blipFill>
                  <pic:spPr>
                    <a:xfrm>
                      <a:off x="0" y="0"/>
                      <a:ext cx="552450" cy="39116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b/>
          <w:color w:val="000000" w:themeColor="text1"/>
          <w:sz w:val="26"/>
          <w:szCs w:val="26"/>
        </w:rPr>
        <w:drawing>
          <wp:anchor distT="0" distB="0" distL="114300" distR="114300" simplePos="0" relativeHeight="251661312" behindDoc="0" locked="0" layoutInCell="1" allowOverlap="1">
            <wp:simplePos x="0" y="0"/>
            <wp:positionH relativeFrom="column">
              <wp:posOffset>2364105</wp:posOffset>
            </wp:positionH>
            <wp:positionV relativeFrom="paragraph">
              <wp:posOffset>41275</wp:posOffset>
            </wp:positionV>
            <wp:extent cx="926465" cy="5549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26465" cy="554990"/>
                    </a:xfrm>
                    <a:prstGeom prst="rect">
                      <a:avLst/>
                    </a:prstGeom>
                    <a:noFill/>
                  </pic:spPr>
                </pic:pic>
              </a:graphicData>
            </a:graphic>
          </wp:anchor>
        </w:drawing>
      </w:r>
      <w:r>
        <w:rPr>
          <w:rFonts w:hint="eastAsia"/>
          <w:b/>
          <w:color w:val="000000" w:themeColor="text1"/>
          <w:sz w:val="26"/>
          <w:szCs w:val="26"/>
        </w:rPr>
        <w:drawing>
          <wp:anchor distT="0" distB="0" distL="114300" distR="114300" simplePos="0" relativeHeight="251660288" behindDoc="0" locked="0" layoutInCell="1" allowOverlap="1">
            <wp:simplePos x="0" y="0"/>
            <wp:positionH relativeFrom="column">
              <wp:posOffset>1704975</wp:posOffset>
            </wp:positionH>
            <wp:positionV relativeFrom="paragraph">
              <wp:posOffset>144145</wp:posOffset>
            </wp:positionV>
            <wp:extent cx="508635" cy="349885"/>
            <wp:effectExtent l="0" t="0" r="5715" b="12065"/>
            <wp:wrapSquare wrapText="bothSides"/>
            <wp:docPr id="5" name="图片 5" descr="0b57c906a1cc363e976463f1193f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b57c906a1cc363e976463f1193fcd9"/>
                    <pic:cNvPicPr>
                      <a:picLocks noChangeAspect="1"/>
                    </pic:cNvPicPr>
                  </pic:nvPicPr>
                  <pic:blipFill>
                    <a:blip r:embed="rId8"/>
                    <a:stretch>
                      <a:fillRect/>
                    </a:stretch>
                  </pic:blipFill>
                  <pic:spPr>
                    <a:xfrm>
                      <a:off x="0" y="0"/>
                      <a:ext cx="508635" cy="34988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5397" w:firstLineChars="2560"/>
        <w:rPr>
          <w:bCs/>
          <w:color w:val="000000" w:themeColor="text1"/>
          <w:sz w:val="16"/>
          <w:szCs w:val="16"/>
        </w:rPr>
      </w:pPr>
      <w:r>
        <w:rPr>
          <w:rFonts w:hint="eastAsia"/>
          <w:b/>
          <w:color w:val="000000" w:themeColor="text1"/>
        </w:rPr>
        <w:t xml:space="preserve">日期： </w:t>
      </w:r>
      <w:r>
        <w:rPr>
          <w:rFonts w:hint="eastAsia"/>
          <w:bCs/>
          <w:color w:val="000000" w:themeColor="text1"/>
        </w:rPr>
        <w:t>2021</w:t>
      </w:r>
      <w:r>
        <w:rPr>
          <w:bCs/>
          <w:color w:val="000000" w:themeColor="text1"/>
        </w:rPr>
        <w:t xml:space="preserve"> </w:t>
      </w:r>
      <w:r>
        <w:rPr>
          <w:rFonts w:hint="eastAsia" w:asciiTheme="minorEastAsia" w:hAnsiTheme="minorEastAsia" w:eastAsiaTheme="minorEastAsia"/>
          <w:bCs/>
          <w:color w:val="000000" w:themeColor="text1"/>
        </w:rPr>
        <w:t>年  4 月  8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szCs w:val="21"/>
        </w:rPr>
        <w:t>☑</w:t>
      </w:r>
      <w:r>
        <w:rPr>
          <w:rFonts w:hint="eastAsia"/>
          <w:b/>
          <w:color w:val="000000" w:themeColor="text1"/>
          <w:szCs w:val="21"/>
        </w:rPr>
        <w:t xml:space="preserve">QMS( </w:t>
      </w:r>
      <w:r>
        <w:rPr>
          <w:b/>
          <w:color w:val="000000" w:themeColor="text1"/>
          <w:szCs w:val="21"/>
        </w:rPr>
        <w:t xml:space="preserve"> </w:t>
      </w:r>
      <w:r>
        <w:rPr>
          <w:rFonts w:hint="eastAsia"/>
          <w:b/>
          <w:color w:val="000000" w:themeColor="text1"/>
          <w:szCs w:val="21"/>
        </w:rPr>
        <w:t>1  )个一般不符合，(  )个严重不符合，</w:t>
      </w:r>
      <w:r>
        <w:rPr>
          <w:rFonts w:hint="eastAsia" w:ascii="宋体" w:hAnsi="宋体"/>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840" w:firstLineChars="400"/>
        <w:rPr>
          <w:b/>
          <w:color w:val="000000" w:themeColor="text1"/>
          <w:szCs w:val="21"/>
        </w:rPr>
      </w:pPr>
      <w:r>
        <w:rPr>
          <w:rFonts w:hint="eastAsia" w:ascii="宋体" w:hAnsi="宋体"/>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drawing>
          <wp:anchor distT="0" distB="0" distL="114300" distR="114300" simplePos="0" relativeHeight="251664384" behindDoc="0" locked="0" layoutInCell="1" allowOverlap="1">
            <wp:simplePos x="0" y="0"/>
            <wp:positionH relativeFrom="column">
              <wp:posOffset>800100</wp:posOffset>
            </wp:positionH>
            <wp:positionV relativeFrom="paragraph">
              <wp:posOffset>27940</wp:posOffset>
            </wp:positionV>
            <wp:extent cx="552450" cy="391160"/>
            <wp:effectExtent l="0" t="0" r="0" b="8255"/>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6"/>
                    <a:stretch>
                      <a:fillRect/>
                    </a:stretch>
                  </pic:blipFill>
                  <pic:spPr>
                    <a:xfrm>
                      <a:off x="0" y="0"/>
                      <a:ext cx="552450" cy="391160"/>
                    </a:xfrm>
                    <a:prstGeom prst="rect">
                      <a:avLst/>
                    </a:prstGeom>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jc w:val="left"/>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8"/>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1056CD"/>
    <w:multiLevelType w:val="singleLevel"/>
    <w:tmpl w:val="7B1056CD"/>
    <w:lvl w:ilvl="0" w:tentative="0">
      <w:start w:val="5"/>
      <w:numFmt w:val="decimal"/>
      <w:suff w:val="space"/>
      <w:lvlText w:val="%1."/>
      <w:lvlJc w:val="left"/>
    </w:lvl>
  </w:abstractNum>
  <w:abstractNum w:abstractNumId="3">
    <w:nsid w:val="7C105CD0"/>
    <w:multiLevelType w:val="singleLevel"/>
    <w:tmpl w:val="7C105CD0"/>
    <w:lvl w:ilvl="0" w:tentative="0">
      <w:start w:val="8"/>
      <w:numFmt w:val="decimal"/>
      <w:suff w:val="space"/>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B7C55"/>
    <w:rsid w:val="00011940"/>
    <w:rsid w:val="00017FF2"/>
    <w:rsid w:val="00030D73"/>
    <w:rsid w:val="00051E71"/>
    <w:rsid w:val="000542B6"/>
    <w:rsid w:val="000C7807"/>
    <w:rsid w:val="001043D2"/>
    <w:rsid w:val="00131107"/>
    <w:rsid w:val="00136C52"/>
    <w:rsid w:val="001905DB"/>
    <w:rsid w:val="00194808"/>
    <w:rsid w:val="00196714"/>
    <w:rsid w:val="001A5FC6"/>
    <w:rsid w:val="001E7FF4"/>
    <w:rsid w:val="001F7BDD"/>
    <w:rsid w:val="002001D7"/>
    <w:rsid w:val="002731F1"/>
    <w:rsid w:val="002A5AF2"/>
    <w:rsid w:val="00302628"/>
    <w:rsid w:val="00331490"/>
    <w:rsid w:val="00344ECD"/>
    <w:rsid w:val="003A2527"/>
    <w:rsid w:val="003B7C55"/>
    <w:rsid w:val="003F52B1"/>
    <w:rsid w:val="004F5A7D"/>
    <w:rsid w:val="00520A47"/>
    <w:rsid w:val="005340F3"/>
    <w:rsid w:val="005C75A9"/>
    <w:rsid w:val="005F018C"/>
    <w:rsid w:val="005F6A80"/>
    <w:rsid w:val="00611808"/>
    <w:rsid w:val="006129EB"/>
    <w:rsid w:val="00636C4E"/>
    <w:rsid w:val="0064224F"/>
    <w:rsid w:val="00645FFF"/>
    <w:rsid w:val="00685A34"/>
    <w:rsid w:val="006C00F4"/>
    <w:rsid w:val="006F72BA"/>
    <w:rsid w:val="00700C79"/>
    <w:rsid w:val="007404F3"/>
    <w:rsid w:val="0076092A"/>
    <w:rsid w:val="00762D99"/>
    <w:rsid w:val="007D5E7C"/>
    <w:rsid w:val="007E51C2"/>
    <w:rsid w:val="007F4C3D"/>
    <w:rsid w:val="0080181F"/>
    <w:rsid w:val="008415A3"/>
    <w:rsid w:val="008712EB"/>
    <w:rsid w:val="008A79B1"/>
    <w:rsid w:val="008B1F40"/>
    <w:rsid w:val="00941451"/>
    <w:rsid w:val="00983FEB"/>
    <w:rsid w:val="009D0F70"/>
    <w:rsid w:val="009E2F28"/>
    <w:rsid w:val="00A67F1D"/>
    <w:rsid w:val="00AB5BB2"/>
    <w:rsid w:val="00AD6A28"/>
    <w:rsid w:val="00AE3811"/>
    <w:rsid w:val="00AF4559"/>
    <w:rsid w:val="00B40D66"/>
    <w:rsid w:val="00B649BE"/>
    <w:rsid w:val="00B7649B"/>
    <w:rsid w:val="00BC0AAF"/>
    <w:rsid w:val="00C42FF7"/>
    <w:rsid w:val="00C5760B"/>
    <w:rsid w:val="00C64970"/>
    <w:rsid w:val="00C82255"/>
    <w:rsid w:val="00CB7A34"/>
    <w:rsid w:val="00D070A2"/>
    <w:rsid w:val="00D11202"/>
    <w:rsid w:val="00D14AC2"/>
    <w:rsid w:val="00D22BDF"/>
    <w:rsid w:val="00D37BE7"/>
    <w:rsid w:val="00D4697D"/>
    <w:rsid w:val="00DB08A9"/>
    <w:rsid w:val="00DC598D"/>
    <w:rsid w:val="00DC6F35"/>
    <w:rsid w:val="00E3720F"/>
    <w:rsid w:val="00E41B9E"/>
    <w:rsid w:val="00EC4638"/>
    <w:rsid w:val="00EC531E"/>
    <w:rsid w:val="00ED32BA"/>
    <w:rsid w:val="00ED4FC7"/>
    <w:rsid w:val="00EE6BE8"/>
    <w:rsid w:val="00F00295"/>
    <w:rsid w:val="00F271E7"/>
    <w:rsid w:val="00F95F77"/>
    <w:rsid w:val="00FA62F2"/>
    <w:rsid w:val="00FC142F"/>
    <w:rsid w:val="00FC48BA"/>
    <w:rsid w:val="00FE1996"/>
    <w:rsid w:val="06807105"/>
    <w:rsid w:val="0A103478"/>
    <w:rsid w:val="0AF756F8"/>
    <w:rsid w:val="0B723B66"/>
    <w:rsid w:val="0C9221AF"/>
    <w:rsid w:val="1190303B"/>
    <w:rsid w:val="14E755D3"/>
    <w:rsid w:val="15271C72"/>
    <w:rsid w:val="1A5F37DD"/>
    <w:rsid w:val="1A9A6300"/>
    <w:rsid w:val="1FA575E2"/>
    <w:rsid w:val="289E6A44"/>
    <w:rsid w:val="2BDF2026"/>
    <w:rsid w:val="2CB13C3E"/>
    <w:rsid w:val="2DDD2A8F"/>
    <w:rsid w:val="2F716BDD"/>
    <w:rsid w:val="2FF70396"/>
    <w:rsid w:val="30256ABC"/>
    <w:rsid w:val="311F389D"/>
    <w:rsid w:val="32BA58CE"/>
    <w:rsid w:val="32BB255C"/>
    <w:rsid w:val="333974DB"/>
    <w:rsid w:val="375E4AB4"/>
    <w:rsid w:val="383B06AE"/>
    <w:rsid w:val="3AC33DEC"/>
    <w:rsid w:val="3CA133AE"/>
    <w:rsid w:val="3E8058E9"/>
    <w:rsid w:val="3EC13F55"/>
    <w:rsid w:val="42401E25"/>
    <w:rsid w:val="471900F4"/>
    <w:rsid w:val="47885A65"/>
    <w:rsid w:val="4B37062C"/>
    <w:rsid w:val="4B573DED"/>
    <w:rsid w:val="4BA20C6E"/>
    <w:rsid w:val="510A0F07"/>
    <w:rsid w:val="518E20FF"/>
    <w:rsid w:val="55AC1A8E"/>
    <w:rsid w:val="55CE591C"/>
    <w:rsid w:val="56EA3844"/>
    <w:rsid w:val="5C863AFE"/>
    <w:rsid w:val="5D50735E"/>
    <w:rsid w:val="5E117627"/>
    <w:rsid w:val="646D39E9"/>
    <w:rsid w:val="65FF3508"/>
    <w:rsid w:val="697C1788"/>
    <w:rsid w:val="6BF42E9A"/>
    <w:rsid w:val="708C6A0B"/>
    <w:rsid w:val="71D60CD2"/>
    <w:rsid w:val="7A6458FD"/>
    <w:rsid w:val="7BC76068"/>
    <w:rsid w:val="7C8030E3"/>
    <w:rsid w:val="7D6E74BD"/>
    <w:rsid w:val="7D896BB8"/>
    <w:rsid w:val="7DC92853"/>
    <w:rsid w:val="7E0076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字符"/>
    <w:basedOn w:val="8"/>
    <w:link w:val="4"/>
    <w:qFormat/>
    <w:uiPriority w:val="99"/>
    <w:rPr>
      <w:rFonts w:ascii="Times New Roman" w:hAnsi="Times New Roman" w:eastAsia="宋体" w:cs="Times New Roman"/>
      <w:sz w:val="18"/>
      <w:szCs w:val="18"/>
    </w:rPr>
  </w:style>
  <w:style w:type="character" w:customStyle="1" w:styleId="12">
    <w:name w:val="页脚 字符"/>
    <w:basedOn w:val="8"/>
    <w:link w:val="3"/>
    <w:qFormat/>
    <w:uiPriority w:val="99"/>
    <w:rPr>
      <w:rFonts w:ascii="Times New Roman" w:hAnsi="Times New Roman" w:eastAsia="宋体" w:cs="Times New Roman"/>
      <w:sz w:val="18"/>
      <w:szCs w:val="18"/>
    </w:rPr>
  </w:style>
  <w:style w:type="character" w:customStyle="1" w:styleId="13">
    <w:name w:val="批注框文本 字符"/>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1214</Words>
  <Characters>6920</Characters>
  <Lines>57</Lines>
  <Paragraphs>16</Paragraphs>
  <TotalTime>0</TotalTime>
  <ScaleCrop>false</ScaleCrop>
  <LinksUpToDate>false</LinksUpToDate>
  <CharactersWithSpaces>8118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2021-11-23T01:04:08Z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64D3CD70899F45148EA146855D431863</vt:lpwstr>
  </property>
</Properties>
</file>