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3" w:afterLines="30"/>
        <w:jc w:val="center"/>
        <w:rPr>
          <w:rFonts w:ascii="楷体" w:hAnsi="楷体" w:eastAsia="楷体"/>
          <w:b/>
          <w:color w:val="000000" w:themeColor="text1"/>
          <w:sz w:val="84"/>
          <w:szCs w:val="84"/>
        </w:rPr>
      </w:pPr>
      <w:r>
        <w:rPr>
          <w:szCs w:val="21"/>
        </w:rPr>
        <w:drawing>
          <wp:anchor distT="0" distB="0" distL="114300" distR="114300" simplePos="0" relativeHeight="251660288"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4" cstate="print"/>
                    <a:stretch>
                      <a:fillRect/>
                    </a:stretch>
                  </pic:blipFill>
                  <pic:spPr>
                    <a:xfrm>
                      <a:off x="0" y="0"/>
                      <a:ext cx="1724025" cy="1490345"/>
                    </a:xfrm>
                    <a:prstGeom prst="rect">
                      <a:avLst/>
                    </a:prstGeom>
                    <a:noFill/>
                    <a:ln w="9525">
                      <a:noFill/>
                    </a:ln>
                  </pic:spPr>
                </pic:pic>
              </a:graphicData>
            </a:graphic>
          </wp:anchor>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pStyle w:val="10"/>
      </w:pPr>
    </w:p>
    <w:p>
      <w:pPr>
        <w:snapToGrid w:val="0"/>
        <w:spacing w:after="93" w:afterLines="30"/>
        <w:jc w:val="center"/>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海南万象能源科技有限公司</w:t>
      </w:r>
      <w:bookmarkEnd w:id="0"/>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质量管理体系（QMS）</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环境管理体系（EMS）</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STKaiti" w:hAnsi="STKaiti" w:eastAsia="STKaiti" w:cs="STKaiti"/>
          <w:b/>
          <w:color w:val="000000" w:themeColor="text1"/>
          <w:sz w:val="36"/>
          <w:szCs w:val="36"/>
        </w:rPr>
        <w:t xml:space="preserve">   北京</w:t>
      </w:r>
      <w:r>
        <w:rPr>
          <w:rFonts w:hint="eastAsia" w:ascii="STKaiti" w:hAnsi="STKaiti" w:eastAsia="STKaiti" w:cs="STKaiti"/>
          <w:b/>
          <w:color w:val="000000"/>
          <w:sz w:val="36"/>
          <w:szCs w:val="36"/>
        </w:rPr>
        <w:t>国标联合</w:t>
      </w:r>
      <w:r>
        <w:rPr>
          <w:rFonts w:hint="eastAsia" w:ascii="STKaiti" w:hAnsi="STKaiti" w:eastAsia="STKaiti" w:cs="STKaiti"/>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rPr>
          <w:rStyle w:val="9"/>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65"/>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pStyle w:val="11"/>
              <w:ind w:left="-142" w:firstLine="0" w:firstLineChars="0"/>
              <w:rPr>
                <w:b/>
                <w:color w:val="000000" w:themeColor="text1"/>
                <w:sz w:val="20"/>
                <w:szCs w:val="20"/>
                <w:lang w:val="de-DE"/>
              </w:rPr>
            </w:pPr>
            <w:r>
              <w:rPr>
                <w:rFonts w:hint="eastAsia"/>
                <w:b/>
                <w:color w:val="000000" w:themeColor="text1"/>
                <w:sz w:val="20"/>
                <w:szCs w:val="20"/>
              </w:rPr>
              <w:t>北京市朝阳区北苑路168号楼16层1603号</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rFonts w:hint="eastAsia"/>
                <w:b/>
                <w:color w:val="000000" w:themeColor="text1"/>
                <w:sz w:val="20"/>
                <w:szCs w:val="20"/>
              </w:rPr>
              <w:t>51095332</w:t>
            </w:r>
          </w:p>
        </w:tc>
        <w:tc>
          <w:tcPr>
            <w:tcW w:w="865"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性别</w:t>
            </w:r>
          </w:p>
        </w:tc>
        <w:tc>
          <w:tcPr>
            <w:tcW w:w="1216" w:type="dxa"/>
            <w:vAlign w:val="center"/>
          </w:tcPr>
          <w:p>
            <w:pPr>
              <w:spacing w:line="240" w:lineRule="exact"/>
              <w:jc w:val="center"/>
              <w:rPr>
                <w:b/>
                <w:color w:val="000000" w:themeColor="text1"/>
                <w:sz w:val="20"/>
                <w:szCs w:val="20"/>
              </w:rPr>
            </w:pPr>
            <w:r>
              <w:rPr>
                <w:rFonts w:hint="eastAsia"/>
                <w:sz w:val="18"/>
                <w:szCs w:val="18"/>
              </w:rPr>
              <w:t>组内身份</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李京田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Q:19.09.02</w:t>
            </w:r>
          </w:p>
          <w:p>
            <w:pPr>
              <w:spacing w:line="240" w:lineRule="exact"/>
              <w:jc w:val="center"/>
              <w:rPr>
                <w:b/>
                <w:color w:val="000000" w:themeColor="text1"/>
                <w:sz w:val="20"/>
                <w:szCs w:val="20"/>
              </w:rPr>
            </w:pPr>
            <w:r>
              <w:rPr>
                <w:b/>
                <w:color w:val="000000" w:themeColor="text1"/>
                <w:sz w:val="20"/>
                <w:szCs w:val="20"/>
              </w:rPr>
              <w:t>E:19.09.02</w:t>
            </w:r>
          </w:p>
          <w:p>
            <w:pPr>
              <w:spacing w:line="240" w:lineRule="exact"/>
              <w:jc w:val="center"/>
              <w:rPr>
                <w:b/>
                <w:color w:val="000000" w:themeColor="text1"/>
                <w:sz w:val="20"/>
                <w:szCs w:val="20"/>
              </w:rPr>
            </w:pPr>
            <w:r>
              <w:rPr>
                <w:b/>
                <w:color w:val="000000" w:themeColor="text1"/>
                <w:sz w:val="20"/>
                <w:szCs w:val="20"/>
              </w:rPr>
              <w:t>O:19.09.02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240" w:lineRule="exact"/>
              <w:jc w:val="center"/>
              <w:rPr>
                <w:b/>
                <w:color w:val="000000" w:themeColor="text1"/>
                <w:sz w:val="20"/>
                <w:szCs w:val="20"/>
              </w:rPr>
            </w:pPr>
          </w:p>
        </w:tc>
        <w:tc>
          <w:tcPr>
            <w:tcW w:w="992" w:type="dxa"/>
            <w:vAlign w:val="center"/>
          </w:tcPr>
          <w:p>
            <w:pPr>
              <w:spacing w:line="240" w:lineRule="exact"/>
              <w:jc w:val="center"/>
              <w:rPr>
                <w:b/>
                <w:color w:val="000000" w:themeColor="text1"/>
                <w:sz w:val="20"/>
                <w:szCs w:val="20"/>
              </w:rPr>
            </w:pPr>
          </w:p>
        </w:tc>
        <w:tc>
          <w:tcPr>
            <w:tcW w:w="1216" w:type="dxa"/>
            <w:vAlign w:val="center"/>
          </w:tcPr>
          <w:p>
            <w:pPr>
              <w:spacing w:line="240" w:lineRule="exact"/>
              <w:jc w:val="center"/>
              <w:rPr>
                <w:b/>
                <w:color w:val="000000" w:themeColor="text1"/>
                <w:sz w:val="20"/>
                <w:szCs w:val="20"/>
              </w:rPr>
            </w:pPr>
          </w:p>
        </w:tc>
        <w:tc>
          <w:tcPr>
            <w:tcW w:w="3478" w:type="dxa"/>
            <w:gridSpan w:val="3"/>
            <w:vAlign w:val="center"/>
          </w:tcPr>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240" w:lineRule="exact"/>
              <w:jc w:val="center"/>
              <w:rPr>
                <w:b/>
                <w:color w:val="000000" w:themeColor="text1"/>
                <w:sz w:val="20"/>
                <w:szCs w:val="20"/>
              </w:rPr>
            </w:pPr>
          </w:p>
        </w:tc>
        <w:tc>
          <w:tcPr>
            <w:tcW w:w="992" w:type="dxa"/>
            <w:vAlign w:val="center"/>
          </w:tcPr>
          <w:p>
            <w:pPr>
              <w:spacing w:line="240" w:lineRule="exact"/>
              <w:jc w:val="center"/>
              <w:rPr>
                <w:b/>
                <w:color w:val="000000" w:themeColor="text1"/>
                <w:sz w:val="20"/>
                <w:szCs w:val="20"/>
              </w:rPr>
            </w:pPr>
          </w:p>
        </w:tc>
        <w:tc>
          <w:tcPr>
            <w:tcW w:w="1216" w:type="dxa"/>
            <w:vAlign w:val="center"/>
          </w:tcPr>
          <w:p>
            <w:pPr>
              <w:spacing w:line="240" w:lineRule="exact"/>
              <w:jc w:val="center"/>
              <w:rPr>
                <w:b/>
                <w:color w:val="000000" w:themeColor="text1"/>
                <w:sz w:val="20"/>
                <w:szCs w:val="20"/>
              </w:rPr>
            </w:pPr>
          </w:p>
        </w:tc>
        <w:tc>
          <w:tcPr>
            <w:tcW w:w="3478" w:type="dxa"/>
            <w:gridSpan w:val="3"/>
            <w:vAlign w:val="center"/>
          </w:tcPr>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spacing w:line="240" w:lineRule="exact"/>
              <w:jc w:val="center"/>
              <w:rPr>
                <w:b/>
                <w:color w:val="000000" w:themeColor="text1"/>
                <w:sz w:val="20"/>
                <w:szCs w:val="20"/>
              </w:rPr>
            </w:pPr>
          </w:p>
        </w:tc>
        <w:tc>
          <w:tcPr>
            <w:tcW w:w="992" w:type="dxa"/>
            <w:vAlign w:val="center"/>
          </w:tcPr>
          <w:p>
            <w:pPr>
              <w:spacing w:line="240" w:lineRule="exact"/>
              <w:jc w:val="center"/>
              <w:rPr>
                <w:b/>
                <w:color w:val="000000" w:themeColor="text1"/>
                <w:sz w:val="20"/>
                <w:szCs w:val="20"/>
              </w:rPr>
            </w:pPr>
          </w:p>
        </w:tc>
        <w:tc>
          <w:tcPr>
            <w:tcW w:w="1216" w:type="dxa"/>
            <w:vAlign w:val="center"/>
          </w:tcPr>
          <w:p>
            <w:pPr>
              <w:spacing w:line="240" w:lineRule="exact"/>
              <w:jc w:val="center"/>
              <w:rPr>
                <w:b/>
                <w:color w:val="000000" w:themeColor="text1"/>
                <w:sz w:val="20"/>
                <w:szCs w:val="20"/>
              </w:rPr>
            </w:pPr>
          </w:p>
        </w:tc>
        <w:tc>
          <w:tcPr>
            <w:tcW w:w="3478" w:type="dxa"/>
            <w:gridSpan w:val="3"/>
            <w:vAlign w:val="center"/>
          </w:tcPr>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QMS/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EMS/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1"/>
        <w:ind w:left="-142" w:firstLine="0" w:firstLineChars="0"/>
        <w:rPr>
          <w:rFonts w:ascii="宋体" w:hAnsi="宋体"/>
          <w:b/>
          <w:color w:val="000000" w:themeColor="text1"/>
          <w:sz w:val="20"/>
          <w:szCs w:val="20"/>
        </w:rPr>
      </w:pPr>
      <w:r>
        <w:rPr>
          <w:rFonts w:hint="eastAsia" w:ascii="宋体" w:hAnsi="宋体" w:cs="宋体"/>
          <w:b/>
          <w:color w:val="000000" w:themeColor="text1"/>
          <w:spacing w:val="-10"/>
          <w:sz w:val="20"/>
          <w:szCs w:val="20"/>
        </w:rPr>
        <w:t>█</w:t>
      </w:r>
      <w:r>
        <w:rPr>
          <w:rFonts w:hint="eastAsia" w:ascii="宋体" w:hAnsi="宋体"/>
          <w:b/>
          <w:color w:val="000000" w:themeColor="text1"/>
          <w:sz w:val="20"/>
          <w:szCs w:val="20"/>
          <w:lang w:val="de-DE"/>
        </w:rPr>
        <w:t xml:space="preserve">ISO9001:2015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lang w:val="de-DE"/>
        </w:rPr>
        <w:t xml:space="preserve">ISO14001:2015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lang w:val="de-DE"/>
        </w:rPr>
        <w:t>GB/T</w:t>
      </w:r>
      <w:r>
        <w:rPr>
          <w:rFonts w:hint="eastAsia" w:ascii="宋体" w:hAnsi="宋体"/>
          <w:b/>
          <w:color w:val="000000" w:themeColor="text1"/>
          <w:spacing w:val="-10"/>
          <w:sz w:val="20"/>
          <w:szCs w:val="20"/>
          <w:lang w:val="en-US" w:eastAsia="zh-CN"/>
        </w:rPr>
        <w:t>45</w:t>
      </w:r>
      <w:r>
        <w:rPr>
          <w:rFonts w:hint="eastAsia" w:ascii="宋体" w:hAnsi="宋体"/>
          <w:b/>
          <w:color w:val="000000" w:themeColor="text1"/>
          <w:spacing w:val="-10"/>
          <w:sz w:val="20"/>
          <w:szCs w:val="20"/>
          <w:lang w:val="de-DE"/>
        </w:rPr>
        <w:t>001-20</w:t>
      </w:r>
      <w:r>
        <w:rPr>
          <w:rFonts w:hint="eastAsia" w:ascii="宋体" w:hAnsi="宋体"/>
          <w:b/>
          <w:color w:val="000000" w:themeColor="text1"/>
          <w:spacing w:val="-10"/>
          <w:sz w:val="20"/>
          <w:szCs w:val="20"/>
          <w:lang w:val="en-US" w:eastAsia="zh-CN"/>
        </w:rPr>
        <w:t>20</w:t>
      </w: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z w:val="20"/>
          <w:szCs w:val="20"/>
        </w:rPr>
        <w:t>受审核方管理体系文件</w:t>
      </w:r>
    </w:p>
    <w:p>
      <w:pPr>
        <w:pStyle w:val="11"/>
        <w:ind w:left="-142" w:firstLine="0" w:firstLineChars="0"/>
        <w:rPr>
          <w:rFonts w:ascii="宋体" w:hAnsi="宋体"/>
          <w:b/>
          <w:color w:val="000000" w:themeColor="text1"/>
          <w:sz w:val="26"/>
          <w:szCs w:val="26"/>
        </w:rPr>
      </w:pP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z w:val="20"/>
          <w:szCs w:val="20"/>
        </w:rPr>
        <w:t>适用的法律、法规、标准。</w:t>
      </w: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rPr>
        <w:t>合同要求</w:t>
      </w:r>
      <w:r>
        <w:rPr>
          <w:rFonts w:hint="eastAsia" w:ascii="宋体" w:hAnsi="宋体"/>
          <w:b/>
          <w:color w:val="000000" w:themeColor="text1"/>
          <w:spacing w:val="-10"/>
          <w:sz w:val="22"/>
          <w:szCs w:val="22"/>
        </w:rPr>
        <w:t xml:space="preserve"> </w:t>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海南万象能源科技有限公司</w:t>
            </w:r>
          </w:p>
        </w:tc>
        <w:tc>
          <w:tcPr>
            <w:tcW w:w="1134" w:type="dxa"/>
            <w:gridSpan w:val="3"/>
            <w:vAlign w:val="top"/>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海南省老城高新技术产业示范区海南生态软件园A17幢一层4001</w:t>
            </w:r>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vAlign w:val="top"/>
          </w:tcPr>
          <w:p>
            <w:pPr>
              <w:spacing w:line="320" w:lineRule="exact"/>
              <w:rPr>
                <w:rFonts w:ascii="宋体" w:hAnsi="宋体" w:eastAsia="宋体" w:cs="Times New Roman"/>
                <w:b/>
                <w:color w:val="000000" w:themeColor="text1"/>
                <w:spacing w:val="-20"/>
                <w:kern w:val="2"/>
                <w:sz w:val="20"/>
                <w:szCs w:val="20"/>
                <w:lang w:val="en-US" w:eastAsia="zh-CN" w:bidi="ar-SA"/>
              </w:rPr>
            </w:pPr>
            <w:r>
              <w:rPr>
                <w:rFonts w:ascii="宋体" w:hAnsi="宋体"/>
                <w:b/>
                <w:color w:val="000000" w:themeColor="text1"/>
                <w:spacing w:val="-20"/>
                <w:sz w:val="20"/>
                <w:szCs w:val="20"/>
              </w:rPr>
              <w:t>571924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生产地址</w:t>
            </w:r>
          </w:p>
        </w:tc>
        <w:tc>
          <w:tcPr>
            <w:tcW w:w="6120" w:type="dxa"/>
            <w:gridSpan w:val="12"/>
            <w:vAlign w:val="top"/>
          </w:tcPr>
          <w:p>
            <w:pPr>
              <w:spacing w:line="320" w:lineRule="exact"/>
              <w:rPr>
                <w:rFonts w:ascii="宋体" w:hAnsi="宋体"/>
                <w:b/>
                <w:color w:val="000000" w:themeColor="text1"/>
                <w:sz w:val="20"/>
                <w:szCs w:val="20"/>
              </w:rPr>
            </w:pPr>
            <w:r>
              <w:rPr>
                <w:rFonts w:ascii="宋体" w:hAnsi="宋体"/>
                <w:b/>
                <w:color w:val="000000" w:themeColor="text1"/>
                <w:sz w:val="20"/>
                <w:szCs w:val="20"/>
              </w:rPr>
              <w:t>海口市秀英区南海大道药谷四路18号</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vAlign w:val="top"/>
          </w:tcPr>
          <w:p>
            <w:pPr>
              <w:spacing w:line="320" w:lineRule="exact"/>
              <w:rPr>
                <w:rFonts w:ascii="宋体" w:hAnsi="宋体" w:eastAsia="宋体" w:cs="Times New Roman"/>
                <w:b/>
                <w:color w:val="000000" w:themeColor="text1"/>
                <w:kern w:val="2"/>
                <w:sz w:val="20"/>
                <w:szCs w:val="20"/>
                <w:lang w:val="en-US" w:eastAsia="zh-CN" w:bidi="ar-SA"/>
              </w:rPr>
            </w:pPr>
            <w:r>
              <w:rPr>
                <w:rFonts w:ascii="宋体" w:hAnsi="宋体"/>
                <w:b/>
                <w:color w:val="000000" w:themeColor="text1"/>
                <w:sz w:val="20"/>
                <w:szCs w:val="20"/>
              </w:rPr>
              <w:t>570300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李娜</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0898-65661818</w:t>
            </w:r>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王禄柳</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r>
              <w:rPr>
                <w:rFonts w:ascii="宋体" w:hAnsi="宋体"/>
                <w:b/>
                <w:color w:val="000000" w:themeColor="text1"/>
                <w:sz w:val="20"/>
                <w:szCs w:val="20"/>
              </w:rPr>
              <w:t>王禄柳</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李娜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 w:name="审核范围"/>
            <w:r>
              <w:rPr>
                <w:rFonts w:ascii="宋体" w:hAnsi="宋体"/>
                <w:b/>
                <w:color w:val="000000" w:themeColor="text1"/>
                <w:sz w:val="20"/>
                <w:szCs w:val="20"/>
              </w:rPr>
              <w:t>Q：资质范围内的高低压开关成套设备的生产和销售</w:t>
            </w:r>
          </w:p>
          <w:p>
            <w:pPr>
              <w:spacing w:line="320" w:lineRule="exact"/>
              <w:rPr>
                <w:rFonts w:ascii="宋体" w:hAnsi="宋体"/>
                <w:b/>
                <w:color w:val="000000" w:themeColor="text1"/>
                <w:sz w:val="20"/>
                <w:szCs w:val="20"/>
              </w:rPr>
            </w:pPr>
            <w:r>
              <w:rPr>
                <w:rFonts w:ascii="宋体" w:hAnsi="宋体"/>
                <w:b/>
                <w:color w:val="000000" w:themeColor="text1"/>
                <w:sz w:val="20"/>
                <w:szCs w:val="20"/>
              </w:rPr>
              <w:t>E：资质范围内的高低压开关成套设备的生产及销售所涉及场所的相关环境管理活动</w:t>
            </w:r>
          </w:p>
          <w:p>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O：资质范围内的高低压开关成套设备的生产及销售所涉及场所的相关职业健康安全管理活动</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2" w:name="专业代码"/>
            <w:r>
              <w:rPr>
                <w:rFonts w:ascii="宋体" w:hAnsi="宋体"/>
                <w:b/>
                <w:color w:val="000000" w:themeColor="text1"/>
                <w:sz w:val="20"/>
                <w:szCs w:val="20"/>
              </w:rPr>
              <w:t>Q：19.09.02</w:t>
            </w:r>
          </w:p>
          <w:p>
            <w:pPr>
              <w:spacing w:line="320" w:lineRule="exact"/>
              <w:rPr>
                <w:rFonts w:ascii="宋体" w:hAnsi="宋体"/>
                <w:b/>
                <w:color w:val="000000" w:themeColor="text1"/>
                <w:sz w:val="20"/>
                <w:szCs w:val="20"/>
              </w:rPr>
            </w:pPr>
            <w:r>
              <w:rPr>
                <w:rFonts w:ascii="宋体" w:hAnsi="宋体"/>
                <w:b/>
                <w:color w:val="000000" w:themeColor="text1"/>
                <w:sz w:val="20"/>
                <w:szCs w:val="20"/>
              </w:rPr>
              <w:t>E：19.09.02</w:t>
            </w:r>
          </w:p>
          <w:p>
            <w:pPr>
              <w:spacing w:line="320" w:lineRule="exact"/>
              <w:rPr>
                <w:rFonts w:ascii="宋体" w:hAnsi="宋体"/>
                <w:b/>
                <w:color w:val="000000" w:themeColor="text1"/>
                <w:sz w:val="20"/>
                <w:szCs w:val="20"/>
              </w:rPr>
            </w:pPr>
            <w:r>
              <w:rPr>
                <w:rFonts w:ascii="宋体" w:hAnsi="宋体"/>
                <w:b/>
                <w:color w:val="000000" w:themeColor="text1"/>
                <w:sz w:val="20"/>
                <w:szCs w:val="20"/>
              </w:rPr>
              <w:t>O：19.09.02</w:t>
            </w:r>
            <w:bookmarkEnd w:id="2"/>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cs="宋体"/>
                <w:b/>
                <w:color w:val="000000" w:themeColor="text1"/>
                <w:sz w:val="20"/>
                <w:szCs w:val="20"/>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rPr>
              <w:t>20</w:t>
            </w:r>
            <w:r>
              <w:rPr>
                <w:rFonts w:hint="eastAsia" w:ascii="宋体" w:hAnsi="宋体"/>
                <w:b/>
                <w:color w:val="000000" w:themeColor="text1"/>
                <w:sz w:val="20"/>
                <w:szCs w:val="20"/>
                <w:lang w:val="en-US" w:eastAsia="zh-CN"/>
              </w:rPr>
              <w:t>20</w:t>
            </w:r>
            <w:r>
              <w:rPr>
                <w:rFonts w:hint="eastAsia" w:ascii="宋体" w:hAnsi="宋体"/>
                <w:b/>
                <w:color w:val="000000" w:themeColor="text1"/>
                <w:sz w:val="20"/>
                <w:szCs w:val="20"/>
              </w:rPr>
              <w:t>.</w:t>
            </w:r>
            <w:r>
              <w:rPr>
                <w:rFonts w:ascii="宋体" w:hAnsi="宋体"/>
                <w:b/>
                <w:color w:val="000000" w:themeColor="text1"/>
                <w:sz w:val="20"/>
                <w:szCs w:val="20"/>
              </w:rPr>
              <w:t>6.</w:t>
            </w:r>
            <w:r>
              <w:rPr>
                <w:rFonts w:hint="eastAsia" w:ascii="宋体" w:hAnsi="宋体"/>
                <w:b/>
                <w:color w:val="000000" w:themeColor="text1"/>
                <w:sz w:val="20"/>
                <w:szCs w:val="20"/>
                <w:lang w:val="en-US" w:eastAsia="zh-CN"/>
              </w:rPr>
              <w:t>20</w:t>
            </w:r>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hint="eastAsia"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无</w:t>
            </w:r>
          </w:p>
          <w:p>
            <w:pPr>
              <w:widowControl/>
              <w:jc w:val="left"/>
              <w:rPr>
                <w:rFonts w:ascii="宋体" w:hAnsi="宋体"/>
                <w:b/>
                <w:color w:val="000000" w:themeColor="text1"/>
                <w:spacing w:val="-20"/>
                <w:sz w:val="20"/>
                <w:szCs w:val="20"/>
              </w:rPr>
            </w:pPr>
          </w:p>
          <w:p>
            <w:pP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lang w:val="en-US" w:eastAsia="zh-CN"/>
              </w:rPr>
              <w:t>无</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3"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p>
            <w:pPr>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行政</w:t>
            </w:r>
            <w:r>
              <w:rPr>
                <w:rFonts w:hint="eastAsia" w:ascii="宋体" w:hAnsi="宋体"/>
                <w:b/>
                <w:color w:val="000000" w:themeColor="text1"/>
                <w:sz w:val="20"/>
                <w:szCs w:val="20"/>
              </w:rPr>
              <w:t>部</w:t>
            </w:r>
          </w:p>
        </w:tc>
        <w:tc>
          <w:tcPr>
            <w:tcW w:w="6804" w:type="dxa"/>
          </w:tcPr>
          <w:p>
            <w:pPr>
              <w:ind w:firstLine="420" w:firstLineChars="200"/>
              <w:rPr>
                <w:rFonts w:ascii="宋体" w:hAnsi="宋体" w:cs="宋体"/>
                <w:szCs w:val="21"/>
              </w:rPr>
            </w:pPr>
            <w:r>
              <w:rPr>
                <w:rFonts w:hint="eastAsia" w:ascii="宋体" w:hAnsi="宋体" w:cs="宋体"/>
                <w:szCs w:val="21"/>
              </w:rPr>
              <w:t>人力资源管理过程</w:t>
            </w:r>
          </w:p>
          <w:p>
            <w:pPr>
              <w:ind w:firstLine="420" w:firstLineChars="200"/>
              <w:rPr>
                <w:rFonts w:ascii="宋体" w:hAnsi="宋体" w:cs="宋体"/>
                <w:szCs w:val="21"/>
              </w:rPr>
            </w:pPr>
            <w:r>
              <w:rPr>
                <w:rFonts w:hint="eastAsia" w:ascii="宋体" w:hAnsi="宋体" w:cs="宋体"/>
                <w:szCs w:val="21"/>
              </w:rPr>
              <w:t>资源提供与管理过程控制；</w:t>
            </w:r>
          </w:p>
          <w:p>
            <w:pPr>
              <w:ind w:firstLine="420" w:firstLineChars="200"/>
              <w:rPr>
                <w:rFonts w:ascii="宋体" w:hAnsi="宋体" w:cs="宋体"/>
                <w:szCs w:val="21"/>
              </w:rPr>
            </w:pPr>
            <w:r>
              <w:rPr>
                <w:rFonts w:hint="eastAsia" w:ascii="宋体" w:hAnsi="宋体" w:cs="宋体"/>
                <w:szCs w:val="21"/>
              </w:rPr>
              <w:t>内外部信息交流过程；</w:t>
            </w:r>
          </w:p>
          <w:p>
            <w:pPr>
              <w:ind w:firstLine="420" w:firstLineChars="200"/>
              <w:rPr>
                <w:rFonts w:ascii="宋体" w:hAnsi="宋体" w:cs="宋体"/>
                <w:szCs w:val="21"/>
              </w:rPr>
            </w:pPr>
            <w:r>
              <w:rPr>
                <w:rFonts w:hint="eastAsia" w:ascii="宋体" w:hAnsi="宋体" w:cs="宋体"/>
                <w:szCs w:val="21"/>
              </w:rPr>
              <w:t>环境、职业健康安全体系运行过程；</w:t>
            </w:r>
          </w:p>
          <w:p>
            <w:pPr>
              <w:ind w:firstLine="420" w:firstLineChars="200"/>
              <w:rPr>
                <w:rFonts w:ascii="宋体" w:hAnsi="宋体" w:cs="宋体"/>
                <w:szCs w:val="21"/>
              </w:rPr>
            </w:pPr>
            <w:r>
              <w:rPr>
                <w:rFonts w:hint="eastAsia" w:ascii="宋体" w:hAnsi="宋体" w:cs="宋体"/>
                <w:szCs w:val="21"/>
              </w:rPr>
              <w:t>负责绩效评价过程等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销售部</w:t>
            </w:r>
          </w:p>
        </w:tc>
        <w:tc>
          <w:tcPr>
            <w:tcW w:w="6804" w:type="dxa"/>
          </w:tcPr>
          <w:p>
            <w:pPr>
              <w:ind w:firstLine="210" w:firstLineChars="100"/>
              <w:rPr>
                <w:rFonts w:ascii="宋体" w:hAnsi="宋体" w:cs="宋体"/>
                <w:szCs w:val="21"/>
              </w:rPr>
            </w:pPr>
            <w:r>
              <w:rPr>
                <w:rFonts w:hint="eastAsia" w:ascii="宋体" w:hAnsi="宋体" w:cs="宋体"/>
                <w:szCs w:val="21"/>
              </w:rPr>
              <w:t>负责公司</w:t>
            </w:r>
            <w:r>
              <w:rPr>
                <w:rFonts w:hint="eastAsia" w:ascii="宋体" w:hAnsi="宋体"/>
                <w:szCs w:val="21"/>
              </w:rPr>
              <w:t>销售</w:t>
            </w:r>
            <w:r>
              <w:rPr>
                <w:rFonts w:hint="eastAsia" w:ascii="宋体" w:hAnsi="宋体" w:cs="宋体"/>
                <w:szCs w:val="21"/>
              </w:rPr>
              <w:t>的实施和管理、负责</w:t>
            </w:r>
            <w:r>
              <w:rPr>
                <w:rFonts w:hint="eastAsia" w:ascii="宋体" w:hAnsi="宋体"/>
                <w:szCs w:val="21"/>
              </w:rPr>
              <w:t>销售</w:t>
            </w:r>
            <w:r>
              <w:rPr>
                <w:rFonts w:hint="eastAsia" w:ascii="宋体" w:hAnsi="宋体" w:cs="宋体"/>
                <w:szCs w:val="21"/>
              </w:rPr>
              <w:t>方案等技术文件的编制、修订</w:t>
            </w:r>
          </w:p>
          <w:p>
            <w:pPr>
              <w:ind w:firstLine="420" w:firstLineChars="200"/>
              <w:rPr>
                <w:rFonts w:ascii="宋体" w:hAnsi="宋体" w:cs="宋体"/>
                <w:szCs w:val="21"/>
              </w:rPr>
            </w:pPr>
            <w:r>
              <w:rPr>
                <w:rFonts w:hint="eastAsia" w:ascii="宋体" w:hAnsi="宋体" w:cs="宋体"/>
                <w:szCs w:val="21"/>
              </w:rPr>
              <w:t>负责</w:t>
            </w:r>
            <w:r>
              <w:rPr>
                <w:rFonts w:hint="eastAsia" w:ascii="宋体" w:hAnsi="宋体"/>
                <w:szCs w:val="21"/>
              </w:rPr>
              <w:t>销售</w:t>
            </w:r>
            <w:r>
              <w:rPr>
                <w:rFonts w:hint="eastAsia" w:ascii="宋体" w:hAnsi="宋体" w:cs="宋体"/>
                <w:szCs w:val="21"/>
              </w:rPr>
              <w:t>项目进度和工作质量的把控、负责销售反馈问题的汇总、跟踪及解决</w:t>
            </w:r>
          </w:p>
          <w:p>
            <w:pPr>
              <w:ind w:firstLine="420" w:firstLineChars="200"/>
              <w:rPr>
                <w:rFonts w:ascii="宋体" w:hAnsi="宋体" w:cs="宋体"/>
                <w:color w:val="auto"/>
                <w:szCs w:val="21"/>
              </w:rPr>
            </w:pPr>
            <w:r>
              <w:rPr>
                <w:rFonts w:hint="eastAsia" w:ascii="宋体" w:hAnsi="宋体" w:cs="宋体"/>
                <w:szCs w:val="21"/>
              </w:rPr>
              <w:t>负责客户关系协调及客户人员培训、根据相关政策法规的规定，负责对相关</w:t>
            </w:r>
            <w:r>
              <w:rPr>
                <w:rFonts w:hint="eastAsia" w:ascii="宋体" w:hAnsi="宋体"/>
                <w:color w:val="auto"/>
                <w:szCs w:val="21"/>
              </w:rPr>
              <w:t>销售</w:t>
            </w:r>
            <w:r>
              <w:rPr>
                <w:rFonts w:hint="eastAsia" w:ascii="宋体" w:hAnsi="宋体" w:cs="宋体"/>
                <w:color w:val="auto"/>
                <w:szCs w:val="21"/>
              </w:rPr>
              <w:t>文件进行调整和完善、.完成领导交办的其他任务</w:t>
            </w:r>
          </w:p>
          <w:p>
            <w:pPr>
              <w:ind w:firstLine="420" w:firstLineChars="200"/>
              <w:rPr>
                <w:rFonts w:ascii="宋体" w:hAnsi="宋体" w:cs="宋体"/>
                <w:szCs w:val="21"/>
              </w:rPr>
            </w:pPr>
            <w:r>
              <w:rPr>
                <w:rFonts w:hint="eastAsia" w:ascii="宋体" w:hAnsi="宋体" w:cs="宋体"/>
                <w:color w:val="auto"/>
                <w:szCs w:val="21"/>
              </w:rPr>
              <w:t>环境、职业健</w:t>
            </w:r>
            <w:r>
              <w:rPr>
                <w:rFonts w:hint="eastAsia" w:ascii="宋体" w:hAnsi="宋体" w:cs="宋体"/>
                <w:szCs w:val="21"/>
              </w:rPr>
              <w:t>康安全体系运行过程；</w:t>
            </w:r>
          </w:p>
          <w:p>
            <w:pPr>
              <w:ind w:firstLine="420" w:firstLineChars="200"/>
              <w:rPr>
                <w:rFonts w:ascii="宋体" w:hAnsi="宋体" w:cs="宋体"/>
                <w:szCs w:val="21"/>
              </w:rPr>
            </w:pPr>
            <w:r>
              <w:rPr>
                <w:rFonts w:hint="eastAsia" w:ascii="宋体" w:hAnsi="宋体" w:cs="宋体"/>
                <w:szCs w:val="21"/>
              </w:rPr>
              <w:t>环境因素、危险源的识别和评价及管理控制</w:t>
            </w:r>
          </w:p>
          <w:p>
            <w:pPr>
              <w:ind w:firstLine="420" w:firstLineChars="200"/>
              <w:rPr>
                <w:rFonts w:ascii="宋体" w:hAnsi="宋体" w:cs="宋体"/>
                <w:szCs w:val="21"/>
              </w:rPr>
            </w:pPr>
            <w:r>
              <w:rPr>
                <w:rFonts w:hint="eastAsia" w:ascii="宋体" w:hAnsi="宋体" w:cs="宋体"/>
                <w:szCs w:val="21"/>
              </w:rPr>
              <w:t>顾客满意度调查</w:t>
            </w:r>
          </w:p>
          <w:p>
            <w:pPr>
              <w:ind w:firstLine="420" w:firstLineChars="200"/>
              <w:rPr>
                <w:rFonts w:ascii="宋体" w:hAnsi="宋体" w:cs="宋体"/>
                <w:szCs w:val="21"/>
              </w:rPr>
            </w:pPr>
            <w:r>
              <w:rPr>
                <w:rFonts w:hint="eastAsia" w:ascii="宋体" w:hAnsi="宋体" w:cs="宋体"/>
                <w:szCs w:val="21"/>
              </w:rPr>
              <w:t>内外部信息交流过程；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生产部</w:t>
            </w:r>
          </w:p>
        </w:tc>
        <w:tc>
          <w:tcPr>
            <w:tcW w:w="6804" w:type="dxa"/>
          </w:tcPr>
          <w:p>
            <w:pPr>
              <w:ind w:firstLine="420" w:firstLineChars="200"/>
              <w:rPr>
                <w:rFonts w:ascii="宋体" w:hAnsi="宋体" w:cs="宋体"/>
                <w:szCs w:val="21"/>
              </w:rPr>
            </w:pPr>
            <w:r>
              <w:rPr>
                <w:rFonts w:hint="eastAsia" w:ascii="宋体" w:hAnsi="宋体" w:cs="宋体"/>
                <w:szCs w:val="21"/>
              </w:rPr>
              <w:t>a、按时、保质保量完成生产任务；</w:t>
            </w:r>
          </w:p>
          <w:p>
            <w:pPr>
              <w:ind w:firstLine="420" w:firstLineChars="200"/>
              <w:rPr>
                <w:color w:val="000000"/>
                <w:szCs w:val="21"/>
              </w:rPr>
            </w:pPr>
            <w:r>
              <w:rPr>
                <w:rFonts w:hint="eastAsia" w:ascii="宋体" w:hAnsi="宋体" w:cs="宋体"/>
                <w:szCs w:val="21"/>
              </w:rPr>
              <w:t>b、负责</w:t>
            </w:r>
            <w:r>
              <w:rPr>
                <w:rFonts w:hint="eastAsia" w:ascii="宋体" w:hAnsi="宋体" w:cs="宋体"/>
                <w:szCs w:val="21"/>
                <w:lang w:val="en-US" w:eastAsia="zh-CN"/>
              </w:rPr>
              <w:t>生产设备维护保养、负责</w:t>
            </w:r>
            <w:r>
              <w:rPr>
                <w:rFonts w:hint="eastAsia" w:ascii="宋体" w:hAnsi="宋体"/>
                <w:szCs w:val="21"/>
                <w:lang w:val="en-US" w:eastAsia="zh-CN"/>
              </w:rPr>
              <w:t>生产</w:t>
            </w:r>
            <w:r>
              <w:rPr>
                <w:rFonts w:hint="eastAsia" w:ascii="宋体" w:hAnsi="宋体" w:cs="宋体"/>
                <w:szCs w:val="21"/>
              </w:rPr>
              <w:t>过程中的产品防护工作；</w:t>
            </w:r>
          </w:p>
          <w:p>
            <w:pPr>
              <w:ind w:firstLine="420" w:firstLineChars="200"/>
              <w:rPr>
                <w:rFonts w:ascii="宋体" w:hAnsi="宋体" w:cs="宋体"/>
                <w:szCs w:val="21"/>
              </w:rPr>
            </w:pPr>
            <w:r>
              <w:rPr>
                <w:rFonts w:hint="eastAsia" w:ascii="宋体" w:hAnsi="宋体" w:cs="宋体"/>
                <w:szCs w:val="21"/>
              </w:rPr>
              <w:t>c、对发现的可能导致质量问题的各种隐患尽快消除，对已出现的质量事故积极处理，并制定防范措施。</w:t>
            </w:r>
          </w:p>
          <w:p>
            <w:pPr>
              <w:ind w:firstLine="420" w:firstLineChars="200"/>
              <w:rPr>
                <w:rFonts w:ascii="宋体" w:hAnsi="宋体" w:cs="宋体"/>
                <w:szCs w:val="21"/>
              </w:rPr>
            </w:pPr>
            <w:r>
              <w:rPr>
                <w:rFonts w:hint="eastAsia" w:ascii="宋体" w:hAnsi="宋体" w:cs="宋体"/>
                <w:szCs w:val="21"/>
              </w:rPr>
              <w:t>d、组织员工参与、协商和沟通，确保员工安全健康得到保证；</w:t>
            </w:r>
          </w:p>
          <w:p>
            <w:pPr>
              <w:ind w:firstLine="420" w:firstLineChars="200"/>
              <w:rPr>
                <w:rFonts w:ascii="宋体" w:hAnsi="宋体" w:cs="宋体"/>
                <w:szCs w:val="21"/>
              </w:rPr>
            </w:pPr>
            <w:r>
              <w:rPr>
                <w:rFonts w:hint="eastAsia" w:ascii="宋体" w:hAnsi="宋体" w:cs="宋体"/>
                <w:szCs w:val="21"/>
              </w:rPr>
              <w:t>e、负责车间重要环境因素、不可接受风险控制的监视和测量，包括目标、指标和方案、运行控制等；</w:t>
            </w:r>
          </w:p>
          <w:p>
            <w:pPr>
              <w:ind w:firstLine="420" w:firstLineChars="200"/>
              <w:rPr>
                <w:rFonts w:ascii="宋体" w:hAnsi="宋体" w:cs="宋体"/>
                <w:szCs w:val="21"/>
              </w:rPr>
            </w:pPr>
            <w:r>
              <w:rPr>
                <w:rFonts w:hint="eastAsia" w:ascii="宋体" w:hAnsi="宋体" w:cs="宋体"/>
                <w:szCs w:val="21"/>
              </w:rPr>
              <w:t>f、负责公司火灾、工伤、危险化学品泄漏等潜在事故和紧急情况应急准备与响应措施的落实，以及组织事故处置工作；</w:t>
            </w:r>
          </w:p>
          <w:p>
            <w:pPr>
              <w:ind w:firstLine="420" w:firstLineChars="200"/>
              <w:rPr>
                <w:rFonts w:ascii="宋体" w:hAnsi="宋体" w:cs="宋体"/>
                <w:szCs w:val="21"/>
              </w:rPr>
            </w:pPr>
            <w:r>
              <w:rPr>
                <w:rFonts w:hint="eastAsia" w:ascii="宋体" w:hAnsi="宋体" w:cs="宋体"/>
                <w:szCs w:val="21"/>
              </w:rPr>
              <w:t>g、参与安全事故的调查和处理；</w:t>
            </w:r>
          </w:p>
          <w:p>
            <w:pPr>
              <w:ind w:firstLine="420" w:firstLineChars="2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质检部</w:t>
            </w:r>
          </w:p>
        </w:tc>
        <w:tc>
          <w:tcPr>
            <w:tcW w:w="6804" w:type="dxa"/>
          </w:tcPr>
          <w:p>
            <w:pPr>
              <w:ind w:firstLine="420" w:firstLineChars="200"/>
              <w:rPr>
                <w:rFonts w:hint="eastAsia"/>
              </w:rPr>
            </w:pPr>
            <w:r>
              <w:rPr>
                <w:rFonts w:hint="eastAsia"/>
              </w:rPr>
              <w:t>•负责测量、检验及检验状态的控制工作；</w:t>
            </w:r>
          </w:p>
          <w:p>
            <w:pPr>
              <w:ind w:firstLine="420" w:firstLineChars="200"/>
              <w:rPr>
                <w:rFonts w:hint="eastAsia"/>
              </w:rPr>
            </w:pPr>
            <w:r>
              <w:rPr>
                <w:rFonts w:hint="eastAsia"/>
              </w:rPr>
              <w:t>•负责不合格品的评审、处置、分析及纠正、预防措施工作；</w:t>
            </w:r>
          </w:p>
          <w:p>
            <w:pPr>
              <w:ind w:firstLine="420" w:firstLineChars="200"/>
              <w:rPr>
                <w:rFonts w:hint="eastAsia"/>
              </w:rPr>
            </w:pPr>
            <w:r>
              <w:rPr>
                <w:rFonts w:hint="eastAsia"/>
              </w:rPr>
              <w:t>•负责供方产品检验、验证的质量控制工作；</w:t>
            </w:r>
          </w:p>
          <w:p>
            <w:pPr>
              <w:ind w:firstLine="420" w:firstLineChars="200"/>
              <w:rPr>
                <w:rFonts w:hint="eastAsia"/>
              </w:rPr>
            </w:pPr>
            <w:r>
              <w:rPr>
                <w:rFonts w:hint="eastAsia"/>
              </w:rPr>
              <w:t>•参与产品要求的评审和供方的评价工作；</w:t>
            </w:r>
          </w:p>
          <w:p>
            <w:pPr>
              <w:ind w:firstLine="420" w:firstLineChars="200"/>
              <w:rPr>
                <w:rFonts w:hint="eastAsia"/>
              </w:rPr>
            </w:pPr>
            <w:r>
              <w:rPr>
                <w:rFonts w:hint="eastAsia"/>
              </w:rPr>
              <w:t>•负责检验、测量设备的管理工作；</w:t>
            </w:r>
          </w:p>
          <w:p>
            <w:pPr>
              <w:ind w:firstLine="420" w:firstLineChars="200"/>
              <w:rPr>
                <w:rFonts w:hint="eastAsia"/>
              </w:rPr>
            </w:pPr>
            <w:r>
              <w:rPr>
                <w:rFonts w:hint="eastAsia"/>
              </w:rPr>
              <w:t>•负责数据分析和统计技术应用工作。</w:t>
            </w:r>
          </w:p>
          <w:p>
            <w:pPr>
              <w:ind w:firstLine="420" w:firstLineChars="200"/>
            </w:pPr>
            <w:r>
              <w:rPr>
                <w:rFonts w:hint="eastAsia"/>
              </w:rPr>
              <w:t>负责本部门的环境因素及危险源的辨识；</w:t>
            </w:r>
          </w:p>
          <w:p>
            <w:pPr>
              <w:ind w:firstLine="420" w:firstLineChars="200"/>
            </w:pPr>
            <w:r>
              <w:rPr>
                <w:rFonts w:hint="eastAsia"/>
              </w:rPr>
              <w:t>负责本部门的环境及职业安全的运行工作</w:t>
            </w:r>
          </w:p>
          <w:p>
            <w:pPr>
              <w:ind w:firstLine="420" w:firstLineChars="200"/>
              <w:rPr>
                <w:rFonts w:ascii="宋体" w:hAnsi="宋体" w:cs="宋体"/>
                <w:szCs w:val="21"/>
              </w:rPr>
            </w:pPr>
            <w:r>
              <w:rPr>
                <w:rFonts w:hint="eastAsia" w:ascii="宋体" w:hAnsi="宋体" w:cs="宋体"/>
                <w:szCs w:val="21"/>
              </w:rPr>
              <w:t>负责辨识本部门的法律、法规及其他要求的获取及识别其适用性，</w:t>
            </w:r>
          </w:p>
          <w:p>
            <w:pPr>
              <w:pStyle w:val="10"/>
              <w:rPr>
                <w:rFonts w:ascii="宋体" w:hAnsi="宋体" w:cs="宋体"/>
                <w:szCs w:val="21"/>
              </w:rPr>
            </w:pPr>
            <w:r>
              <w:rPr>
                <w:rFonts w:hint="eastAsia" w:ascii="宋体" w:hAnsi="宋体" w:cs="宋体"/>
                <w:szCs w:val="21"/>
              </w:rPr>
              <w:t>负责本部门相关方的识别及管理工作</w:t>
            </w:r>
          </w:p>
          <w:p>
            <w:pPr>
              <w:pStyle w:val="10"/>
            </w:pPr>
            <w:r>
              <w:rPr>
                <w:rFonts w:hint="eastAsia" w:ascii="宋体" w:hAnsi="宋体" w:cs="宋体"/>
                <w:szCs w:val="21"/>
              </w:rPr>
              <w:t>参与公司应急预案及演练工作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财务部</w:t>
            </w:r>
          </w:p>
        </w:tc>
        <w:tc>
          <w:tcPr>
            <w:tcW w:w="6804" w:type="dxa"/>
          </w:tcPr>
          <w:p>
            <w:pPr>
              <w:rPr>
                <w:rFonts w:hint="default" w:ascii="宋体" w:hAnsi="宋体" w:eastAsia="宋体"/>
                <w:color w:val="000000" w:themeColor="text1"/>
                <w:spacing w:val="-20"/>
                <w:sz w:val="20"/>
                <w:szCs w:val="20"/>
                <w:lang w:val="en-US" w:eastAsia="zh-CN"/>
              </w:rPr>
            </w:pPr>
            <w:r>
              <w:rPr>
                <w:rFonts w:hint="eastAsia" w:ascii="宋体" w:hAnsi="宋体"/>
                <w:color w:val="000000" w:themeColor="text1"/>
                <w:spacing w:val="-20"/>
                <w:sz w:val="20"/>
                <w:szCs w:val="20"/>
                <w:lang w:val="en-US" w:eastAsia="zh-CN"/>
              </w:rPr>
              <w:t>负责环境及职业健康安全资金的保障工作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职业健康安全事务代表</w:t>
            </w:r>
          </w:p>
        </w:tc>
        <w:tc>
          <w:tcPr>
            <w:tcW w:w="6804" w:type="dxa"/>
          </w:tcPr>
          <w:p>
            <w:pPr>
              <w:rPr>
                <w:rFonts w:ascii="宋体" w:hAnsi="宋体"/>
                <w:b/>
                <w:color w:val="000000" w:themeColor="text1"/>
                <w:spacing w:val="-20"/>
                <w:sz w:val="20"/>
                <w:szCs w:val="20"/>
                <w:u w:val="single"/>
              </w:rPr>
            </w:pPr>
            <w:r>
              <w:rPr>
                <w:rFonts w:hint="eastAsia" w:ascii="宋体" w:hAnsi="宋体"/>
                <w:color w:val="000000" w:themeColor="text1"/>
                <w:spacing w:val="-20"/>
                <w:sz w:val="20"/>
                <w:szCs w:val="20"/>
              </w:rPr>
              <w:t>与员工利益有关的管理活动。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Cs w:val="21"/>
              </w:rPr>
            </w:pPr>
            <w:r>
              <w:rPr>
                <w:rFonts w:hint="eastAsia" w:ascii="宋体" w:hAnsi="宋体"/>
                <w:b/>
                <w:color w:val="000000" w:themeColor="text1"/>
                <w:sz w:val="20"/>
                <w:szCs w:val="20"/>
              </w:rPr>
              <w:t>管理层</w:t>
            </w:r>
          </w:p>
        </w:tc>
        <w:tc>
          <w:tcPr>
            <w:tcW w:w="6804" w:type="dxa"/>
          </w:tcPr>
          <w:p>
            <w:pPr>
              <w:rPr>
                <w:rFonts w:ascii="宋体" w:hAnsi="宋体"/>
                <w:b/>
                <w:color w:val="000000" w:themeColor="text1"/>
                <w:spacing w:val="-20"/>
                <w:szCs w:val="21"/>
                <w:u w:val="single"/>
              </w:rPr>
            </w:pPr>
            <w:r>
              <w:rPr>
                <w:rFonts w:hint="eastAsia" w:ascii="宋体" w:hAnsi="宋体"/>
                <w:sz w:val="18"/>
                <w:szCs w:val="18"/>
              </w:rPr>
              <w:t>与管理层有关的管理活动</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4. 本次审核覆盖时期：</w:t>
      </w:r>
    </w:p>
    <w:p>
      <w:pPr>
        <w:spacing w:line="360" w:lineRule="auto"/>
        <w:ind w:left="-191" w:leftChars="-337" w:hanging="517" w:hangingChars="271"/>
        <w:rPr>
          <w:b/>
          <w:color w:val="000000" w:themeColor="text1"/>
          <w:spacing w:val="-10"/>
          <w:szCs w:val="21"/>
        </w:rPr>
      </w:pPr>
      <w:r>
        <w:rPr>
          <w:rFonts w:hint="eastAsia" w:ascii="宋体" w:hAnsi="宋体" w:cs="宋体"/>
          <w:b/>
          <w:color w:val="000000" w:themeColor="text1"/>
          <w:spacing w:val="-10"/>
          <w:szCs w:val="21"/>
        </w:rPr>
        <w:t>█</w:t>
      </w:r>
      <w:r>
        <w:rPr>
          <w:rFonts w:hint="eastAsia"/>
          <w:b/>
          <w:color w:val="000000" w:themeColor="text1"/>
          <w:spacing w:val="-10"/>
          <w:szCs w:val="21"/>
        </w:rPr>
        <w:t>体系运行时间</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rPr>
        <w:t>6</w:t>
      </w:r>
      <w:r>
        <w:rPr>
          <w:rFonts w:hint="eastAsia"/>
          <w:b/>
          <w:color w:val="000000" w:themeColor="text1"/>
          <w:spacing w:val="-10"/>
          <w:szCs w:val="21"/>
          <w:u w:val="single"/>
        </w:rPr>
        <w:t xml:space="preserve"> </w:t>
      </w:r>
      <w:r>
        <w:rPr>
          <w:rFonts w:hint="eastAsia"/>
          <w:b/>
          <w:color w:val="000000" w:themeColor="text1"/>
          <w:spacing w:val="-10"/>
          <w:szCs w:val="21"/>
        </w:rPr>
        <w:t>月</w:t>
      </w:r>
      <w:bookmarkStart w:id="3" w:name="OLE_LINK1"/>
      <w:r>
        <w:rPr>
          <w:rFonts w:hint="eastAsia"/>
          <w:b/>
          <w:color w:val="000000" w:themeColor="text1"/>
          <w:spacing w:val="-10"/>
          <w:szCs w:val="21"/>
          <w:u w:val="single"/>
        </w:rPr>
        <w:t xml:space="preserve"> </w:t>
      </w:r>
      <w:r>
        <w:rPr>
          <w:b/>
          <w:color w:val="000000" w:themeColor="text1"/>
          <w:spacing w:val="-10"/>
          <w:szCs w:val="21"/>
          <w:u w:val="single"/>
        </w:rPr>
        <w:t>10</w:t>
      </w:r>
      <w:r>
        <w:rPr>
          <w:rFonts w:hint="eastAsia"/>
          <w:b/>
          <w:color w:val="000000" w:themeColor="text1"/>
          <w:spacing w:val="-10"/>
          <w:szCs w:val="21"/>
          <w:u w:val="single"/>
        </w:rPr>
        <w:t xml:space="preserve"> </w:t>
      </w:r>
      <w:r>
        <w:rPr>
          <w:rFonts w:hint="eastAsia"/>
          <w:b/>
          <w:color w:val="000000" w:themeColor="text1"/>
          <w:spacing w:val="-10"/>
          <w:szCs w:val="21"/>
        </w:rPr>
        <w:t>日</w:t>
      </w:r>
      <w:bookmarkEnd w:id="3"/>
      <w:r>
        <w:rPr>
          <w:rFonts w:hint="eastAsia"/>
          <w:b/>
          <w:color w:val="000000" w:themeColor="text1"/>
          <w:spacing w:val="-10"/>
          <w:szCs w:val="21"/>
        </w:rPr>
        <w:t>至</w:t>
      </w:r>
      <w:r>
        <w:rPr>
          <w:rFonts w:hint="eastAsia"/>
          <w:b/>
          <w:color w:val="000000" w:themeColor="text1"/>
          <w:spacing w:val="-10"/>
          <w:szCs w:val="21"/>
          <w:u w:val="single"/>
        </w:rPr>
        <w:t xml:space="preserve">  </w:t>
      </w:r>
      <w:r>
        <w:rPr>
          <w:b/>
          <w:color w:val="000000" w:themeColor="text1"/>
          <w:spacing w:val="-10"/>
          <w:szCs w:val="21"/>
          <w:u w:val="single"/>
        </w:rPr>
        <w:t>202</w:t>
      </w:r>
      <w:r>
        <w:rPr>
          <w:rFonts w:hint="eastAsia"/>
          <w:b/>
          <w:color w:val="000000" w:themeColor="text1"/>
          <w:spacing w:val="-10"/>
          <w:szCs w:val="21"/>
          <w:u w:val="single"/>
          <w:lang w:val="en-US" w:eastAsia="zh-CN"/>
        </w:rPr>
        <w:t>1</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4</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18</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5. 完成情况说明:</w:t>
      </w:r>
    </w:p>
    <w:p>
      <w:pPr>
        <w:spacing w:line="360" w:lineRule="auto"/>
        <w:ind w:left="-191" w:leftChars="-337" w:hanging="517" w:hangingChars="271"/>
        <w:rPr>
          <w:b/>
          <w:color w:val="000000" w:themeColor="text1"/>
          <w:spacing w:val="-10"/>
          <w:szCs w:val="21"/>
        </w:rPr>
      </w:pPr>
      <w:r>
        <w:rPr>
          <w:rFonts w:hint="eastAsia" w:ascii="宋体" w:hAnsi="宋体" w:cs="宋体"/>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pPr>
            <w:r>
              <w:t>1、</w:t>
            </w:r>
            <w:r>
              <w:rPr>
                <w:rFonts w:hint="eastAsia"/>
              </w:rPr>
              <w:t>组织及其环境的识别情况</w:t>
            </w:r>
          </w:p>
          <w:p>
            <w:pPr>
              <w:rPr>
                <w:rFonts w:hint="eastAsia" w:ascii="Times New Roman" w:hAnsi="Times New Roman" w:eastAsia="宋体" w:cs="Times New Roman"/>
                <w:bCs w:val="0"/>
                <w:spacing w:val="0"/>
                <w:kern w:val="2"/>
                <w:sz w:val="21"/>
                <w:szCs w:val="24"/>
                <w:lang w:val="en-US" w:eastAsia="zh-CN" w:bidi="ar-SA"/>
              </w:rPr>
            </w:pPr>
            <w:r>
              <w:rPr>
                <w:rFonts w:hint="eastAsia" w:ascii="Times New Roman" w:hAnsi="Times New Roman" w:eastAsia="宋体" w:cs="Times New Roman"/>
                <w:bCs w:val="0"/>
                <w:spacing w:val="0"/>
                <w:kern w:val="2"/>
                <w:sz w:val="21"/>
                <w:szCs w:val="24"/>
                <w:lang w:val="en-US" w:eastAsia="zh-CN" w:bidi="ar-SA"/>
              </w:rPr>
              <w:t>公司通过对自身服务、规模、能力、财务、市场、管理等现状及行业趋势的分析：确定了影响公司的内外部环境因素，这些因素包括了需要考虑的正面和负面因素或条件。并对已识别的内、外部环境因素的信息进行连续监视和定期评审，判断其影响程度及变化趋势，制定并实施发展战略，确保公司长期稳定的发展。</w:t>
            </w:r>
          </w:p>
          <w:p>
            <w:pPr>
              <w:rPr>
                <w:rFonts w:hint="eastAsia" w:ascii="Times New Roman" w:hAnsi="Times New Roman" w:eastAsia="宋体" w:cs="Times New Roman"/>
                <w:bCs w:val="0"/>
                <w:spacing w:val="0"/>
                <w:kern w:val="2"/>
                <w:sz w:val="21"/>
                <w:szCs w:val="24"/>
                <w:lang w:val="en-US" w:eastAsia="zh-CN" w:bidi="ar-SA"/>
              </w:rPr>
            </w:pPr>
            <w:r>
              <w:rPr>
                <w:rFonts w:hint="eastAsia" w:ascii="Times New Roman" w:hAnsi="Times New Roman" w:eastAsia="宋体" w:cs="Times New Roman"/>
                <w:bCs w:val="0"/>
                <w:spacing w:val="0"/>
                <w:kern w:val="2"/>
                <w:sz w:val="21"/>
                <w:szCs w:val="24"/>
                <w:lang w:val="en-US" w:eastAsia="zh-CN" w:bidi="ar-SA"/>
              </w:rPr>
              <w:t>周边环境：气候、空气和水质量、土地使用、现存污染、资源的可获得性等相关因素公司推行质量、环境、职业健康安全管理体系的目的就是不断提高公司管理水平和市场准入。总经理确定与本公司管理目标和战略方向相关并影响实现管理体系预期结果的各种内部因素（公司的价值观、文化、知识、绩效等相关因素）及公司发展愿景和外部因素（国际、国家、地区和当地的各种法律法规、技术、竞争、文化和社会因素等）。这些因素包括了需要考虑的正面和负面因素或条件。</w:t>
            </w:r>
          </w:p>
          <w:p>
            <w:pPr>
              <w:pStyle w:val="10"/>
            </w:pPr>
            <w:r>
              <w:rPr>
                <w:rFonts w:hint="eastAsia" w:ascii="Times New Roman" w:hAnsi="Times New Roman" w:eastAsia="宋体" w:cs="Times New Roman"/>
                <w:bCs w:val="0"/>
                <w:spacing w:val="0"/>
                <w:kern w:val="2"/>
                <w:sz w:val="21"/>
                <w:szCs w:val="24"/>
                <w:lang w:val="en-US" w:eastAsia="zh-CN" w:bidi="ar-SA"/>
              </w:rPr>
              <w:t>公司每年办公室根据由公司办公、销售服务等人员从市场、客户、网络等搜集到的信息并结合公司自身业务运作情况进行分析，通过分析对这些内部和外部因素的相关信息进行监视和评审以确保其充分和适宜。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pPr>
            <w:r>
              <w:rPr>
                <w:rFonts w:hint="eastAsia"/>
              </w:rPr>
              <w:t>相关方需求和期望识别情况</w:t>
            </w:r>
          </w:p>
          <w:p>
            <w:r>
              <w:rPr>
                <w:rFonts w:hint="eastAsia"/>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r>
              <w:rPr>
                <w:rFonts w:hint="eastAsia"/>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质量/</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环境/</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80" w:lineRule="exact"/>
              <w:rPr>
                <w:rFonts w:ascii="楷体" w:hAnsi="楷体" w:eastAsia="楷体"/>
                <w:sz w:val="24"/>
              </w:rPr>
            </w:pPr>
            <w:r>
              <w:rPr>
                <w:rFonts w:hint="eastAsia" w:ascii="楷体" w:hAnsi="楷体" w:eastAsia="楷体"/>
                <w:sz w:val="24"/>
              </w:rPr>
              <w:t>公司的管理方针是：</w:t>
            </w:r>
          </w:p>
          <w:p>
            <w:pPr>
              <w:ind w:firstLine="840" w:firstLineChars="400"/>
              <w:rPr>
                <w:rFonts w:hint="eastAsia"/>
              </w:rPr>
            </w:pPr>
            <w:r>
              <w:rPr>
                <w:rFonts w:hint="eastAsia"/>
              </w:rPr>
              <w:t>顾客至上，质量第一，全员参与，创新共赢</w:t>
            </w:r>
          </w:p>
          <w:p>
            <w:pPr>
              <w:rPr>
                <w:rFonts w:hint="eastAsia"/>
              </w:rPr>
            </w:pPr>
            <w:r>
              <w:rPr>
                <w:rFonts w:hint="eastAsia"/>
              </w:rPr>
              <w:t xml:space="preserve">      节能减排，绿色生产，安全第一，以人为本</w:t>
            </w:r>
          </w:p>
          <w:p>
            <w:pPr>
              <w:pStyle w:val="10"/>
            </w:pPr>
            <w:r>
              <w:rPr>
                <w:rFonts w:hint="eastAsia"/>
                <w:color w:val="000000"/>
              </w:rPr>
              <w:t>通过管理手册的分发使全体员工理解方针，通过内审和管理评审保持方针的适宜性。</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pPr>
            <w:r>
              <w:rPr>
                <w:rFonts w:hint="eastAsia"/>
              </w:rPr>
              <w:t>风险识别与控制策划</w:t>
            </w:r>
          </w:p>
          <w:p>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pPr>
            <w:r>
              <w:rPr>
                <w:rFonts w:hint="eastAsia"/>
              </w:rPr>
              <w:t>提供了“20</w:t>
            </w:r>
            <w:r>
              <w:rPr>
                <w:rFonts w:hint="eastAsia"/>
                <w:lang w:val="en-US" w:eastAsia="zh-CN"/>
              </w:rPr>
              <w:t>20</w:t>
            </w:r>
            <w:r>
              <w:rPr>
                <w:rFonts w:hint="eastAsia"/>
              </w:rPr>
              <w:t>年度 SWOT经营环境分析及对策报告”，对影响公司经营和发展的各种因素（内外部环境、相关方要求等）进行分析，确定需要应对的风险和机遇</w:t>
            </w:r>
          </w:p>
          <w:p>
            <w:pPr>
              <w:pStyle w:val="1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质量管理体系过程有：</w:t>
            </w:r>
          </w:p>
          <w:p>
            <w:pPr>
              <w:spacing w:line="400" w:lineRule="exact"/>
              <w:rPr>
                <w:rFonts w:ascii="宋体" w:hAnsi="宋体"/>
                <w:sz w:val="24"/>
              </w:rPr>
            </w:pPr>
            <w:r>
              <w:rPr>
                <w:rFonts w:hint="eastAsia" w:ascii="宋体" w:hAnsi="宋体"/>
                <w:sz w:val="24"/>
                <w:lang w:val="en-US" w:eastAsia="zh-CN"/>
              </w:rPr>
              <w:t>销售流程：</w:t>
            </w:r>
            <w:r>
              <w:rPr>
                <w:rFonts w:hint="eastAsia" w:ascii="宋体" w:hAnsi="宋体"/>
                <w:sz w:val="24"/>
              </w:rPr>
              <w:t>接受客户意向订单―合同评审―签订合同―下达生产任务单（组织生产）―客户验收―交付</w:t>
            </w:r>
          </w:p>
          <w:p>
            <w:pPr>
              <w:rPr>
                <w:rFonts w:ascii="宋体" w:hAnsi="宋体"/>
                <w:bCs w:val="0"/>
                <w:spacing w:val="0"/>
                <w:sz w:val="24"/>
              </w:rPr>
            </w:pPr>
            <w:r>
              <w:rPr>
                <w:rFonts w:hint="eastAsia" w:ascii="宋体" w:hAnsi="宋体"/>
                <w:sz w:val="24"/>
              </w:rPr>
              <w:t>生产流程：</w:t>
            </w:r>
            <w:r>
              <w:rPr>
                <w:rFonts w:hint="eastAsia" w:ascii="宋体" w:hAnsi="宋体"/>
                <w:bCs w:val="0"/>
                <w:spacing w:val="0"/>
                <w:sz w:val="24"/>
              </w:rPr>
              <w:t>领料-检查-复查-布线-复检-复检-链接-调试-检验-入库</w:t>
            </w:r>
          </w:p>
          <w:p>
            <w:pPr>
              <w:pStyle w:val="10"/>
              <w:rPr>
                <w:rFonts w:ascii="宋体" w:hAnsi="宋体"/>
                <w:bCs w:val="0"/>
                <w:spacing w:val="0"/>
                <w:sz w:val="24"/>
              </w:rPr>
            </w:pPr>
            <w:r>
              <w:rPr>
                <w:rFonts w:hint="eastAsia" w:ascii="宋体" w:hAnsi="宋体"/>
                <w:bCs w:val="0"/>
                <w:spacing w:val="0"/>
                <w:sz w:val="24"/>
              </w:rPr>
              <w:t>其中特殊过程为：销售过程、调试过程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sz w:val="24"/>
              </w:rPr>
              <w:t>销售过程、调试过程</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u w:val="single"/>
              </w:rPr>
              <w:t xml:space="preserve"> </w:t>
            </w:r>
            <w:r>
              <w:rPr>
                <w:rFonts w:hint="eastAsia" w:ascii="宋体" w:hAnsi="宋体"/>
                <w:sz w:val="24"/>
              </w:rPr>
              <w:t>销售过程、调试过程</w:t>
            </w:r>
          </w:p>
          <w:p>
            <w:pPr>
              <w:rPr>
                <w:rFonts w:hint="eastAsia" w:eastAsia="宋体"/>
                <w:szCs w:val="21"/>
                <w:lang w:eastAsia="zh-CN"/>
              </w:rPr>
            </w:pPr>
            <w:r>
              <w:rPr>
                <w:rFonts w:hint="eastAsia" w:ascii="宋体" w:hAnsi="宋体"/>
                <w:b/>
                <w:color w:val="000000" w:themeColor="text1"/>
                <w:sz w:val="20"/>
                <w:szCs w:val="20"/>
              </w:rPr>
              <w:t>不适用条款是   8.3     ，</w:t>
            </w:r>
            <w:r>
              <w:rPr>
                <w:rFonts w:hint="eastAsia" w:asciiTheme="minorEastAsia" w:hAnsiTheme="minorEastAsia" w:cstheme="minorEastAsia"/>
                <w:color w:val="000000" w:themeColor="text1"/>
                <w:kern w:val="2"/>
                <w:sz w:val="21"/>
                <w:szCs w:val="21"/>
                <w:lang w:val="en-US" w:eastAsia="zh-CN"/>
              </w:rPr>
              <w:t>不适用，理由：</w:t>
            </w:r>
            <w:r>
              <w:rPr>
                <w:rFonts w:hint="eastAsia"/>
                <w:color w:val="000000" w:themeColor="text1"/>
                <w:szCs w:val="21"/>
                <w:lang w:val="en-US" w:eastAsia="zh-CN"/>
              </w:rPr>
              <w:t>因该公司的</w:t>
            </w:r>
            <w:r>
              <w:rPr>
                <w:rFonts w:hint="eastAsia" w:ascii="宋体" w:hAnsi="宋体"/>
                <w:szCs w:val="21"/>
                <w:lang w:val="en-US" w:eastAsia="zh-CN"/>
              </w:rPr>
              <w:t>产品生产及销售</w:t>
            </w:r>
            <w:r>
              <w:rPr>
                <w:rFonts w:hint="eastAsia"/>
                <w:color w:val="000000" w:themeColor="text1"/>
                <w:szCs w:val="21"/>
                <w:lang w:eastAsia="zh-CN"/>
              </w:rPr>
              <w:t>，</w:t>
            </w:r>
            <w:r>
              <w:rPr>
                <w:rFonts w:hint="eastAsia"/>
                <w:color w:val="000000" w:themeColor="text1"/>
                <w:szCs w:val="21"/>
                <w:lang w:val="en-US" w:eastAsia="zh-CN"/>
              </w:rPr>
              <w:t>按照国家标准及顾客的要求进行，该条款的不适用,</w:t>
            </w:r>
            <w:r>
              <w:rPr>
                <w:rFonts w:hint="eastAsia"/>
                <w:color w:val="000000" w:themeColor="text1"/>
                <w:szCs w:val="21"/>
              </w:rPr>
              <w:t>不影响组织确保其产品和服务合格的能力和责任，也不会对增强顾客满意产生影响</w:t>
            </w:r>
            <w:r>
              <w:rPr>
                <w:rFonts w:hint="eastAsia" w:ascii="宋体" w:hAnsi="宋体"/>
                <w:b/>
                <w:color w:val="000000" w:themeColor="text1"/>
                <w:sz w:val="20"/>
                <w:szCs w:val="20"/>
              </w:rPr>
              <w:t xml:space="preserve"> </w:t>
            </w:r>
          </w:p>
          <w:p>
            <w:pPr>
              <w:rPr>
                <w:rFonts w:ascii="宋体" w:hAnsi="宋体"/>
                <w:b/>
                <w:color w:val="000000" w:themeColor="text1"/>
                <w:sz w:val="20"/>
                <w:szCs w:val="20"/>
              </w:rPr>
            </w:pPr>
            <w:r>
              <w:rPr>
                <w:rFonts w:hint="eastAsia" w:ascii="宋体" w:hAnsi="宋体"/>
                <w:b/>
                <w:color w:val="000000" w:themeColor="text1"/>
                <w:sz w:val="20"/>
                <w:szCs w:val="20"/>
              </w:rPr>
              <w:t xml:space="preserve">                                            </w:t>
            </w: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94" w:lineRule="exact"/>
              <w:ind w:firstLine="420" w:firstLineChars="200"/>
              <w:rPr>
                <w:szCs w:val="21"/>
              </w:rPr>
            </w:pPr>
            <w:r>
              <w:rPr>
                <w:rFonts w:hint="eastAsia"/>
                <w:szCs w:val="21"/>
              </w:rPr>
              <w:t>编制了</w:t>
            </w:r>
            <w:r>
              <w:rPr>
                <w:szCs w:val="21"/>
              </w:rPr>
              <w:t>《环境因素的识别与评价控制程序》</w:t>
            </w:r>
            <w:r>
              <w:rPr>
                <w:rFonts w:hint="eastAsia"/>
                <w:szCs w:val="21"/>
              </w:rPr>
              <w:t>符合标准要求.</w:t>
            </w:r>
          </w:p>
          <w:p>
            <w:pPr>
              <w:ind w:firstLine="420" w:firstLineChars="200"/>
            </w:pPr>
            <w:r>
              <w:rPr>
                <w:rFonts w:hint="eastAsia"/>
                <w:szCs w:val="21"/>
              </w:rPr>
              <w:t>提供的“环境因素识别评价表”“重要环境因素清单”， 评价考虑了三种时态现在、过去、将来、三种状态、异常、正常、紧急考虑了法律法规，并进行了评价，针对</w:t>
            </w:r>
            <w:r>
              <w:rPr>
                <w:rFonts w:hint="eastAsia" w:ascii="宋体" w:hAnsi="宋体" w:cs="宋体"/>
                <w:kern w:val="0"/>
                <w:szCs w:val="21"/>
              </w:rPr>
              <w:t>服装机械设备及零配件的销售</w:t>
            </w:r>
            <w:r>
              <w:rPr>
                <w:rFonts w:hint="eastAsia"/>
                <w:szCs w:val="21"/>
              </w:rPr>
              <w:t>过程，用打分法考虑了法规符合性、发生频次、影响范围等, 通过定性判断法，共识别出重大环境因素</w:t>
            </w:r>
            <w:r>
              <w:rPr>
                <w:szCs w:val="21"/>
              </w:rPr>
              <w:t>2</w:t>
            </w:r>
            <w:r>
              <w:rPr>
                <w:rFonts w:hint="eastAsia"/>
                <w:szCs w:val="21"/>
              </w:rPr>
              <w:t>项：固废排放、火灾，评价符合程序要求及公司的实际情况。</w:t>
            </w:r>
          </w:p>
          <w:p>
            <w:pPr>
              <w:spacing w:line="300" w:lineRule="exact"/>
              <w:rPr>
                <w:b/>
                <w:color w:val="000000" w:themeColor="text1"/>
                <w:sz w:val="20"/>
                <w:szCs w:val="20"/>
              </w:rPr>
            </w:pPr>
            <w:r>
              <w:rPr>
                <w:rFonts w:hint="eastAsia"/>
                <w:szCs w:val="21"/>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pPr>
            <w:r>
              <w:rPr>
                <w:rFonts w:hint="eastAsia"/>
              </w:rPr>
              <w:t xml:space="preserve">7. </w:t>
            </w:r>
            <w:r>
              <w:t>OHSMS</w:t>
            </w:r>
            <w:r>
              <w:rPr>
                <w:rFonts w:hint="eastAsia"/>
              </w:rPr>
              <w:t>职业健康安全危险源</w:t>
            </w:r>
          </w:p>
          <w:p>
            <w:pPr>
              <w:spacing w:line="300" w:lineRule="exact"/>
            </w:pPr>
            <w:r>
              <w:rPr>
                <w:rFonts w:hint="eastAsia"/>
              </w:rPr>
              <w:t>（职业健康安全危险源辨识是否充分、风险评价合理性，以及风险评价动态变更的及时性等）</w:t>
            </w:r>
          </w:p>
          <w:p>
            <w:pPr>
              <w:ind w:firstLine="420" w:firstLineChars="200"/>
              <w:rPr>
                <w:szCs w:val="21"/>
              </w:rPr>
            </w:pPr>
            <w:r>
              <w:rPr>
                <w:rFonts w:hint="eastAsia"/>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szCs w:val="21"/>
              </w:rPr>
            </w:pPr>
            <w:r>
              <w:rPr>
                <w:rFonts w:hint="eastAsia"/>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szCs w:val="21"/>
              </w:rPr>
              <w:t>3</w:t>
            </w:r>
            <w:r>
              <w:rPr>
                <w:rFonts w:hint="eastAsia"/>
                <w:szCs w:val="21"/>
              </w:rPr>
              <w:t>项，涉及：火灾、触电、意外伤害，评价符合程序要求及公司的实际情况。对危险源的控制措施包括制定管理制度、监督检查、应急预案、培训等。</w:t>
            </w:r>
          </w:p>
          <w:p>
            <w:pPr>
              <w:pStyle w:val="10"/>
            </w:pPr>
            <w:r>
              <w:rPr>
                <w:rFonts w:hint="eastAsia"/>
                <w:bCs w:val="0"/>
                <w:spacing w:val="0"/>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获取法律法规102项，■法律法规获取充分，□法律法规获取有遗漏，缺少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5"/>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5"/>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10"/>
            </w:pPr>
          </w:p>
          <w:p>
            <w:pPr>
              <w:spacing w:line="240" w:lineRule="exact"/>
              <w:ind w:firstLine="420" w:firstLineChars="200"/>
              <w:rPr>
                <w:rFonts w:ascii="宋体" w:hAnsi="宋体"/>
                <w:b/>
                <w:color w:val="000000" w:themeColor="text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pPr>
            <w:r>
              <w:rPr>
                <w:rFonts w:hint="eastAsia"/>
              </w:rPr>
              <w:t>6. 文件与记录控制 (文审修订后文件与标准的符合程度评价、文件控制管理等)</w:t>
            </w:r>
          </w:p>
          <w:p>
            <w:pPr>
              <w:tabs>
                <w:tab w:val="left" w:pos="540"/>
              </w:tabs>
              <w:spacing w:line="240" w:lineRule="exact"/>
            </w:pPr>
          </w:p>
          <w:p>
            <w:pPr>
              <w:pStyle w:val="10"/>
            </w:pPr>
            <w:r>
              <w:rPr>
                <w:rFonts w:hint="eastAsia"/>
                <w:szCs w:val="21"/>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rFonts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10"/>
            </w:pPr>
          </w:p>
          <w:p>
            <w:pPr>
              <w:rPr>
                <w:rFonts w:ascii="宋体" w:hAnsi="宋体"/>
                <w:b/>
                <w:color w:val="000000" w:themeColor="text1"/>
                <w:sz w:val="20"/>
                <w:szCs w:val="20"/>
              </w:rPr>
            </w:pPr>
            <w:r>
              <w:rPr>
                <w:rFonts w:hint="eastAsia"/>
                <w:bCs/>
                <w:szCs w:val="21"/>
              </w:rPr>
              <w:t>该公司员工共</w:t>
            </w:r>
            <w:r>
              <w:rPr>
                <w:rFonts w:hint="eastAsia"/>
                <w:bCs/>
                <w:szCs w:val="21"/>
                <w:lang w:val="en-US" w:eastAsia="zh-CN"/>
              </w:rPr>
              <w:t>25</w:t>
            </w:r>
            <w:r>
              <w:rPr>
                <w:rFonts w:hint="eastAsia"/>
                <w:bCs/>
                <w:szCs w:val="21"/>
              </w:rPr>
              <w:t>人，管理人2人。有专业的销售人员，能满足</w:t>
            </w:r>
            <w:r>
              <w:rPr>
                <w:rFonts w:hint="eastAsia" w:ascii="宋体" w:hAnsi="宋体"/>
                <w:szCs w:val="21"/>
              </w:rPr>
              <w:t>资质范围内的高低压开关成套设备的生产和销售</w:t>
            </w:r>
            <w:r>
              <w:rPr>
                <w:rFonts w:hint="eastAsia"/>
                <w:bCs/>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auto"/>
                <w:sz w:val="20"/>
                <w:szCs w:val="20"/>
              </w:rPr>
            </w:pPr>
            <w:r>
              <w:rPr>
                <w:rFonts w:hint="eastAsia" w:ascii="宋体" w:hAnsi="宋体"/>
                <w:b/>
                <w:color w:val="auto"/>
                <w:sz w:val="20"/>
                <w:szCs w:val="20"/>
              </w:rPr>
              <w:t>设备设施（包括信息系统）、</w:t>
            </w:r>
          </w:p>
          <w:p>
            <w:pPr>
              <w:rPr>
                <w:rFonts w:ascii="黑体" w:hAnsi="黑体" w:cs="黑体"/>
                <w:color w:val="auto"/>
                <w:szCs w:val="21"/>
              </w:rPr>
            </w:pPr>
            <w:r>
              <w:rPr>
                <w:rFonts w:hint="eastAsia"/>
                <w:color w:val="auto"/>
                <w:szCs w:val="21"/>
              </w:rPr>
              <w:t>生产设备有：</w:t>
            </w:r>
            <w:r>
              <w:rPr>
                <w:rFonts w:hint="eastAsia" w:ascii="宋体" w:hAnsi="宋体"/>
                <w:color w:val="auto"/>
                <w:spacing w:val="-10"/>
                <w:sz w:val="20"/>
                <w:szCs w:val="20"/>
              </w:rPr>
              <w:t>多功能母排加工机、切割机等</w:t>
            </w:r>
          </w:p>
          <w:p>
            <w:pPr>
              <w:rPr>
                <w:rFonts w:cs="Lucida Sans"/>
                <w:b/>
                <w:color w:val="auto"/>
                <w:szCs w:val="20"/>
              </w:rPr>
            </w:pPr>
            <w:r>
              <w:rPr>
                <w:rFonts w:hint="eastAsia" w:ascii="黑体" w:hAnsi="黑体" w:eastAsia="黑体" w:cs="黑体"/>
                <w:color w:val="auto"/>
                <w:szCs w:val="21"/>
              </w:rPr>
              <w:t>办公设备:电脑/打印机/传真机/电话等</w:t>
            </w:r>
            <w:r>
              <w:rPr>
                <w:rFonts w:hint="eastAsia" w:cs="Lucida Sans"/>
                <w:b/>
                <w:color w:val="auto"/>
                <w:szCs w:val="20"/>
              </w:rPr>
              <w:t>。提供维修保养计划及记录，满足要求。</w:t>
            </w:r>
          </w:p>
          <w:p>
            <w:pPr>
              <w:rPr>
                <w:color w:val="auto"/>
              </w:rPr>
            </w:pPr>
            <w:bookmarkStart w:id="4" w:name="_Hlk22559941"/>
            <w:r>
              <w:rPr>
                <w:rFonts w:hint="eastAsia" w:cs="Lucida Sans"/>
                <w:b/>
                <w:color w:val="auto"/>
                <w:szCs w:val="20"/>
              </w:rPr>
              <w:t>环保设施包括：</w:t>
            </w:r>
            <w:r>
              <w:rPr>
                <w:rFonts w:hint="eastAsia"/>
                <w:color w:val="auto"/>
              </w:rPr>
              <w:t>灭火器</w:t>
            </w:r>
            <w:r>
              <w:rPr>
                <w:rFonts w:hint="eastAsia"/>
                <w:color w:val="auto"/>
                <w:szCs w:val="21"/>
              </w:rPr>
              <w:t>、</w:t>
            </w:r>
            <w:r>
              <w:rPr>
                <w:rFonts w:hint="eastAsia" w:cs="Lucida Sans"/>
                <w:b/>
                <w:color w:val="auto"/>
                <w:szCs w:val="20"/>
              </w:rPr>
              <w:t>垃圾桶；</w:t>
            </w:r>
          </w:p>
          <w:p>
            <w:pPr>
              <w:widowControl/>
              <w:spacing w:line="460" w:lineRule="exact"/>
              <w:jc w:val="left"/>
              <w:rPr>
                <w:color w:val="auto"/>
                <w:szCs w:val="21"/>
              </w:rPr>
            </w:pPr>
            <w:r>
              <w:rPr>
                <w:rFonts w:hint="eastAsia" w:cs="Lucida Sans"/>
                <w:b/>
                <w:color w:val="auto"/>
                <w:szCs w:val="20"/>
              </w:rPr>
              <w:t>安全设施配置主要有：标识牌、灭火器、消防器材等，</w:t>
            </w:r>
          </w:p>
          <w:bookmarkEnd w:id="4"/>
          <w:p>
            <w:pPr>
              <w:spacing w:line="240" w:lineRule="exact"/>
              <w:rPr>
                <w:rFonts w:ascii="宋体" w:hAnsi="宋体"/>
                <w:b/>
                <w:color w:val="auto"/>
                <w:sz w:val="20"/>
                <w:szCs w:val="20"/>
              </w:rPr>
            </w:pPr>
          </w:p>
          <w:p>
            <w:pPr>
              <w:spacing w:line="240" w:lineRule="exact"/>
              <w:rPr>
                <w:rFonts w:ascii="宋体" w:hAnsi="宋体"/>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auto"/>
                <w:sz w:val="20"/>
                <w:szCs w:val="20"/>
              </w:rPr>
            </w:pPr>
            <w:r>
              <w:rPr>
                <w:rFonts w:hint="eastAsia" w:ascii="宋体" w:hAnsi="宋体"/>
                <w:b/>
                <w:color w:val="auto"/>
                <w:sz w:val="20"/>
                <w:szCs w:val="20"/>
              </w:rPr>
              <w:t>过程运行环境</w:t>
            </w:r>
          </w:p>
          <w:p>
            <w:pPr>
              <w:rPr>
                <w:color w:val="auto"/>
              </w:rPr>
            </w:pPr>
            <w:r>
              <w:rPr>
                <w:rFonts w:hint="eastAsia"/>
                <w:color w:val="auto"/>
              </w:rPr>
              <w:t>现场观察生产区和办公区域环境卫生管理，工作场所布局合理，温湿度适宜，照明良好，满足办公需求。</w:t>
            </w:r>
          </w:p>
          <w:p>
            <w:pPr>
              <w:spacing w:line="240" w:lineRule="exact"/>
              <w:rPr>
                <w:rFonts w:ascii="宋体" w:hAnsi="宋体"/>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auto"/>
                <w:sz w:val="20"/>
                <w:szCs w:val="20"/>
              </w:rPr>
            </w:pPr>
            <w:r>
              <w:rPr>
                <w:rFonts w:hint="eastAsia" w:ascii="宋体" w:hAnsi="宋体"/>
                <w:b/>
                <w:color w:val="auto"/>
                <w:sz w:val="20"/>
                <w:szCs w:val="20"/>
              </w:rPr>
              <w:t>监视和测量资源</w:t>
            </w:r>
          </w:p>
          <w:p>
            <w:pPr>
              <w:rPr>
                <w:rFonts w:cs="Lucida Sans"/>
                <w:b/>
                <w:color w:val="auto"/>
                <w:szCs w:val="20"/>
              </w:rPr>
            </w:pPr>
            <w:r>
              <w:rPr>
                <w:rFonts w:hint="eastAsia" w:cs="Lucida Sans"/>
                <w:b/>
                <w:color w:val="auto"/>
                <w:szCs w:val="20"/>
              </w:rPr>
              <w:t>监视和测量设备有：电压表、万用表、游标卡尺、绝缘电阻表等</w:t>
            </w:r>
          </w:p>
          <w:p>
            <w:pPr>
              <w:spacing w:line="240" w:lineRule="exact"/>
              <w:rPr>
                <w:rFonts w:ascii="宋体" w:hAnsi="宋体"/>
                <w:b/>
                <w:color w:val="auto"/>
                <w:sz w:val="20"/>
                <w:szCs w:val="20"/>
              </w:rPr>
            </w:pPr>
            <w:r>
              <w:rPr>
                <w:rFonts w:hint="eastAsia"/>
                <w:color w:val="auto"/>
              </w:rPr>
              <w:t>编制有监测和测量检查记录，能不定期对服务进行检查。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000000" w:themeColor="text1"/>
                <w:sz w:val="20"/>
                <w:szCs w:val="20"/>
              </w:rPr>
            </w:pPr>
            <w:r>
              <w:rPr>
                <w:rFonts w:hint="eastAsia"/>
              </w:rPr>
              <w:t>灭火器</w:t>
            </w:r>
            <w:r>
              <w:rPr>
                <w:rFonts w:hint="eastAsia"/>
                <w:szCs w:val="21"/>
              </w:rPr>
              <w:t>、</w:t>
            </w:r>
            <w:r>
              <w:rPr>
                <w:rFonts w:hint="eastAsia" w:cs="Lucida Sans"/>
                <w:b/>
                <w:szCs w:val="20"/>
              </w:rPr>
              <w:t>垃圾桶</w:t>
            </w:r>
            <w:r>
              <w:rPr>
                <w:rFonts w:hint="eastAsia"/>
              </w:rPr>
              <w:t>。</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b/>
                <w:bCs/>
              </w:rPr>
            </w:pPr>
            <w:r>
              <w:rPr>
                <w:rFonts w:hint="eastAsia"/>
                <w:b/>
                <w:bCs/>
              </w:rPr>
              <w:t>职业健康安全设施：</w:t>
            </w:r>
          </w:p>
          <w:p>
            <w:pPr>
              <w:pStyle w:val="10"/>
              <w:rPr>
                <w:rFonts w:ascii="宋体" w:hAnsi="宋体"/>
                <w:b/>
                <w:color w:val="000000" w:themeColor="text1"/>
                <w:sz w:val="20"/>
                <w:szCs w:val="20"/>
              </w:rPr>
            </w:pPr>
            <w:r>
              <w:rPr>
                <w:rFonts w:hint="eastAsia" w:cs="Lucida Sans"/>
                <w:b/>
                <w:szCs w:val="20"/>
              </w:rPr>
              <w:t>标识牌、灭火器、消防器材等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bCs/>
              </w:rPr>
            </w:pPr>
            <w:r>
              <w:rPr>
                <w:rFonts w:hint="eastAsia"/>
                <w:b/>
                <w:bCs/>
              </w:rPr>
              <w:t>1. 针对方针的管理职责评审</w:t>
            </w:r>
          </w:p>
          <w:p>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pPr>
              <w:pStyle w:val="10"/>
              <w:rPr>
                <w:b/>
                <w:color w:val="000000" w:themeColor="text1"/>
                <w:sz w:val="20"/>
                <w:szCs w:val="20"/>
              </w:rPr>
            </w:pP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pStyle w:val="1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楷体_GB2312" w:eastAsia="楷体_GB2312"/>
                <w:b/>
                <w:color w:val="000000" w:themeColor="text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jc w:val="left"/>
              <w:rPr>
                <w:bCs/>
                <w:szCs w:val="21"/>
              </w:rPr>
            </w:pPr>
          </w:p>
          <w:p>
            <w:r>
              <w:rPr>
                <w:rFonts w:hint="eastAsia"/>
              </w:rPr>
              <w:t>提供《</w:t>
            </w:r>
            <w:r>
              <w:rPr>
                <w:rFonts w:hint="eastAsia"/>
                <w:lang w:val="en-US" w:eastAsia="zh-CN"/>
              </w:rPr>
              <w:t>特殊</w:t>
            </w:r>
            <w:r>
              <w:rPr>
                <w:rFonts w:hint="eastAsia"/>
              </w:rPr>
              <w:t>过程确认记录表》，确认内容包括：</w:t>
            </w:r>
            <w:r>
              <w:rPr>
                <w:rFonts w:hint="eastAsia"/>
                <w:lang w:val="en-US" w:eastAsia="zh-CN"/>
              </w:rPr>
              <w:t>合同评审</w:t>
            </w:r>
            <w:r>
              <w:rPr>
                <w:rFonts w:hint="eastAsia"/>
              </w:rPr>
              <w:t>、设备工具的认可、人员资格的鉴定、记录要求等。评审结论：根据公司实际情况，</w:t>
            </w:r>
            <w:r>
              <w:rPr>
                <w:rFonts w:hint="eastAsia" w:ascii="宋体" w:hAnsi="宋体"/>
                <w:bCs w:val="0"/>
                <w:spacing w:val="0"/>
                <w:sz w:val="24"/>
              </w:rPr>
              <w:t>销售过程、调试过程</w:t>
            </w:r>
            <w:r>
              <w:rPr>
                <w:rFonts w:hint="eastAsia" w:ascii="宋体" w:hAnsi="宋体"/>
                <w:bCs w:val="0"/>
                <w:spacing w:val="0"/>
                <w:sz w:val="24"/>
                <w:lang w:val="en-US" w:eastAsia="zh-CN"/>
              </w:rPr>
              <w:t>为特殊过程，</w:t>
            </w:r>
            <w:r>
              <w:rPr>
                <w:rFonts w:hint="eastAsia"/>
              </w:rPr>
              <w:t xml:space="preserve">按照公司质量控制管理制度进行，过程所用基础设施均处在完好状态，从业人员经过培训，胜任本职工作，可以提供满足顾客要求、法律法规要求的服务。 </w:t>
            </w:r>
          </w:p>
          <w:p>
            <w:pPr>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300" w:lineRule="exact"/>
              <w:rPr>
                <w:rFonts w:ascii="宋体" w:hAnsi="宋体"/>
                <w:b/>
                <w:color w:val="auto"/>
                <w:sz w:val="21"/>
                <w:szCs w:val="21"/>
              </w:rPr>
            </w:pPr>
          </w:p>
          <w:p>
            <w:pPr>
              <w:spacing w:line="240" w:lineRule="exact"/>
              <w:rPr>
                <w:rFonts w:ascii="宋体" w:hAnsi="宋体"/>
                <w:b/>
                <w:sz w:val="21"/>
                <w:szCs w:val="21"/>
              </w:rPr>
            </w:pPr>
            <w:r>
              <w:rPr>
                <w:rFonts w:hint="eastAsia" w:ascii="宋体" w:hAnsi="宋体" w:cs="宋体"/>
                <w:color w:val="auto"/>
                <w:szCs w:val="21"/>
              </w:rPr>
              <w:t>制定并实施了产品检验控制规定，规定了公司各管理层次和检测部门在各阶段对产品服务质量实施检查与验收的管理要求。内容基本具备全面性、系统性及可操作性。质量检查与验收均在</w:t>
            </w:r>
            <w:r>
              <w:rPr>
                <w:rFonts w:hint="eastAsia" w:ascii="宋体" w:hAnsi="宋体" w:cs="宋体"/>
                <w:color w:val="auto"/>
                <w:szCs w:val="21"/>
                <w:lang w:eastAsia="zh-CN"/>
              </w:rPr>
              <w:t>交付顾客</w:t>
            </w:r>
            <w:r>
              <w:rPr>
                <w:rFonts w:hint="eastAsia" w:ascii="宋体" w:hAnsi="宋体" w:cs="宋体"/>
                <w:color w:val="auto"/>
                <w:szCs w:val="21"/>
              </w:rPr>
              <w:t>前予以实现，范围包括：过程、最终产品。以此保证持续向顾客稳定提供稳定合格的产品</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r>
              <w:rPr>
                <w:rFonts w:hint="eastAsia"/>
                <w:b/>
                <w:color w:val="FF0000"/>
                <w:sz w:val="20"/>
                <w:szCs w:val="20"/>
              </w:rPr>
              <w:t>提供有低压控制柜检测报告（见附件）</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pPr>
            <w:r>
              <w:rPr>
                <w:rFonts w:hint="eastAsia"/>
              </w:rPr>
              <w:t>6. 不合格品/项的识别、控制;</w:t>
            </w:r>
          </w:p>
          <w:p>
            <w:pPr>
              <w:spacing w:line="240" w:lineRule="exact"/>
            </w:pPr>
          </w:p>
          <w:p>
            <w:pPr>
              <w:pStyle w:val="10"/>
            </w:pPr>
            <w:r>
              <w:rPr>
                <w:rFonts w:hint="eastAsia" w:ascii="宋体" w:hAnsi="宋体" w:cs="宋体"/>
                <w:color w:val="auto"/>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widowControl/>
              <w:spacing w:line="460" w:lineRule="exact"/>
              <w:jc w:val="left"/>
              <w:rPr>
                <w:b/>
                <w:color w:val="000000" w:themeColor="text1"/>
                <w:sz w:val="20"/>
                <w:szCs w:val="20"/>
              </w:rPr>
            </w:pPr>
            <w:r>
              <w:rPr>
                <w:rFonts w:hint="eastAsia"/>
                <w:bCs/>
                <w:szCs w:val="21"/>
              </w:rPr>
              <w:t>对重要环境因素（</w:t>
            </w:r>
            <w:r>
              <w:rPr>
                <w:rFonts w:hint="eastAsia"/>
                <w:szCs w:val="21"/>
              </w:rPr>
              <w:t>固废排放、火灾</w:t>
            </w:r>
            <w:r>
              <w:rPr>
                <w:rFonts w:hint="eastAsia"/>
                <w:bCs/>
                <w:szCs w:val="21"/>
              </w:rPr>
              <w:t>）进行了识别和控制。目前公司重大环境因素对周边环境影响不大，可得到有效控制。对相关方进行了必要告知。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对不可接受风险（</w:t>
            </w:r>
            <w:r>
              <w:rPr>
                <w:rFonts w:hint="eastAsia"/>
                <w:szCs w:val="21"/>
              </w:rPr>
              <w:t>火灾、触电、意外伤害</w:t>
            </w:r>
            <w:r>
              <w:rPr>
                <w:rFonts w:hint="eastAsia"/>
                <w:bCs/>
                <w:szCs w:val="21"/>
              </w:rPr>
              <w:t>）进行了识别和控制。目前公司不可接受风险对公司及周边环境影响不大，可得到有效控制。对相关方进行了必要告知。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b/>
                <w:color w:val="000000" w:themeColor="text1"/>
                <w:spacing w:val="-4"/>
                <w:sz w:val="20"/>
                <w:szCs w:val="20"/>
              </w:rPr>
            </w:pPr>
            <w:r>
              <w:rPr>
                <w:rFonts w:hint="eastAsia"/>
                <w:bCs/>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bCs/>
              </w:rPr>
            </w:pPr>
            <w:r>
              <w:rPr>
                <w:rFonts w:hint="eastAsia"/>
                <w:b/>
                <w:bCs/>
              </w:rPr>
              <w:t>11 .对危险化学品销售、使用、储存、运输处置，规定的执行力度(必要时); （适用时）</w:t>
            </w:r>
          </w:p>
          <w:p>
            <w:pPr>
              <w:pStyle w:val="10"/>
              <w:rPr>
                <w:b/>
                <w:sz w:val="20"/>
                <w:szCs w:val="20"/>
              </w:rPr>
            </w:pPr>
          </w:p>
          <w:p>
            <w:pPr>
              <w:pStyle w:val="10"/>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05" w:firstLineChars="50"/>
              <w:rPr>
                <w:b/>
                <w:color w:val="000000" w:themeColor="text1"/>
                <w:sz w:val="20"/>
                <w:szCs w:val="20"/>
              </w:rPr>
            </w:pPr>
            <w:r>
              <w:rPr>
                <w:rFonts w:hint="eastAsia" w:ascii="宋体" w:hAnsi="宋体" w:cs="宋体"/>
                <w:color w:val="auto"/>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4月</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2020年10</w:t>
            </w:r>
            <w:r>
              <w:rPr>
                <w:rFonts w:hint="eastAsia" w:ascii="宋体" w:hAnsi="宋体" w:cs="宋体"/>
                <w:color w:val="auto"/>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05" w:leftChars="0" w:hanging="105" w:hangingChars="50"/>
              <w:rPr>
                <w:rFonts w:hint="eastAsia"/>
              </w:rPr>
            </w:pPr>
            <w:r>
              <w:rPr>
                <w:rFonts w:hint="eastAsia"/>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满意度评价</w:t>
            </w:r>
            <w:r>
              <w:rPr>
                <w:rFonts w:hint="eastAsia"/>
                <w:lang w:val="en-US" w:eastAsia="zh-CN"/>
              </w:rPr>
              <w:t>98</w:t>
            </w:r>
            <w:r>
              <w:rPr>
                <w:rFonts w:hint="eastAsia"/>
              </w:rPr>
              <w:t>分，总体实现了顾客满意度的质量目标要求。</w:t>
            </w:r>
          </w:p>
          <w:p>
            <w:pPr>
              <w:spacing w:line="240" w:lineRule="exact"/>
              <w:ind w:left="105" w:hanging="100" w:hangingChars="5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ascii="宋体" w:hAnsi="宋体"/>
                <w:color w:val="auto"/>
                <w:szCs w:val="21"/>
              </w:rPr>
              <w:t>建立有《内部审核控制程序》，规定了内审频次一年一次，内审时间：</w:t>
            </w:r>
            <w:r>
              <w:rPr>
                <w:rFonts w:hint="eastAsia" w:ascii="宋体" w:hAnsi="宋体"/>
                <w:color w:val="000000"/>
                <w:sz w:val="24"/>
                <w:lang w:val="en-US" w:eastAsia="zh-CN"/>
              </w:rPr>
              <w:t>2020年11</w:t>
            </w:r>
            <w:r>
              <w:rPr>
                <w:rFonts w:hint="eastAsia" w:ascii="宋体" w:hAnsi="宋体"/>
                <w:color w:val="000000"/>
                <w:sz w:val="24"/>
                <w:lang w:eastAsia="zh-CN"/>
              </w:rPr>
              <w:t>月</w:t>
            </w:r>
            <w:r>
              <w:rPr>
                <w:rFonts w:hint="eastAsia" w:ascii="宋体" w:hAnsi="宋体"/>
                <w:color w:val="000000"/>
                <w:sz w:val="24"/>
                <w:lang w:val="en-US" w:eastAsia="zh-CN"/>
              </w:rPr>
              <w:t>1</w:t>
            </w:r>
            <w:r>
              <w:rPr>
                <w:rFonts w:hint="eastAsia" w:ascii="宋体" w:hAnsi="宋体"/>
                <w:color w:val="000000"/>
                <w:sz w:val="24"/>
              </w:rPr>
              <w:t xml:space="preserve"> </w:t>
            </w:r>
            <w:r>
              <w:rPr>
                <w:rFonts w:hint="eastAsia" w:ascii="宋体" w:hAnsi="宋体"/>
                <w:color w:val="000000"/>
                <w:sz w:val="24"/>
                <w:lang w:val="en-US" w:eastAsia="zh-CN"/>
              </w:rPr>
              <w:t>2</w:t>
            </w:r>
            <w:r>
              <w:rPr>
                <w:rFonts w:hint="eastAsia" w:ascii="宋体" w:hAnsi="宋体"/>
                <w:color w:val="000000"/>
                <w:sz w:val="24"/>
              </w:rPr>
              <w:t>-</w:t>
            </w:r>
            <w:r>
              <w:rPr>
                <w:rFonts w:hint="eastAsia" w:ascii="宋体" w:hAnsi="宋体"/>
                <w:color w:val="000000"/>
                <w:sz w:val="24"/>
                <w:lang w:val="en-US" w:eastAsia="zh-CN"/>
              </w:rPr>
              <w:t>13</w:t>
            </w:r>
            <w:r>
              <w:rPr>
                <w:rFonts w:hint="eastAsia" w:ascii="宋体" w:hAnsi="宋体"/>
                <w:color w:val="000000"/>
                <w:sz w:val="24"/>
              </w:rPr>
              <w:t>日</w:t>
            </w:r>
            <w:r>
              <w:rPr>
                <w:rFonts w:hint="eastAsia" w:ascii="宋体" w:hAnsi="宋体"/>
                <w:color w:val="000000"/>
                <w:sz w:val="24"/>
                <w:lang w:val="en-US" w:eastAsia="zh-CN"/>
              </w:rPr>
              <w:t xml:space="preserve"> </w:t>
            </w:r>
            <w:r>
              <w:rPr>
                <w:rFonts w:hint="eastAsia" w:ascii="宋体" w:hAnsi="宋体" w:eastAsia="宋体" w:cs="宋体"/>
                <w:color w:val="000000"/>
                <w:szCs w:val="21"/>
              </w:rPr>
              <w:t xml:space="preserve"> </w:t>
            </w:r>
            <w:r>
              <w:rPr>
                <w:rFonts w:hint="eastAsia" w:ascii="宋体" w:hAnsi="宋体"/>
                <w:color w:val="auto"/>
                <w:szCs w:val="21"/>
              </w:rPr>
              <w:t>，拟定了审核实施表，明确了内审范围，内审人员经培训合格上岗，能力满足要求，未出现审核本部门情况，内审</w:t>
            </w:r>
            <w:r>
              <w:rPr>
                <w:rFonts w:hint="eastAsia" w:ascii="宋体" w:hAnsi="宋体"/>
                <w:color w:val="auto"/>
                <w:szCs w:val="21"/>
                <w:highlight w:val="none"/>
              </w:rPr>
              <w:t>不符合项</w:t>
            </w:r>
            <w:r>
              <w:rPr>
                <w:rFonts w:hint="eastAsia" w:ascii="宋体" w:hAnsi="宋体"/>
                <w:color w:val="auto"/>
                <w:szCs w:val="21"/>
                <w:highlight w:val="none"/>
                <w:lang w:val="en-US" w:eastAsia="zh-CN"/>
              </w:rPr>
              <w:t>1</w:t>
            </w:r>
            <w:r>
              <w:rPr>
                <w:rFonts w:hint="eastAsia" w:ascii="宋体" w:hAnsi="宋体"/>
                <w:color w:val="auto"/>
                <w:szCs w:val="21"/>
                <w:highlight w:val="none"/>
              </w:rPr>
              <w:t>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b/>
                <w:color w:val="000000" w:themeColor="text1"/>
                <w:sz w:val="20"/>
                <w:szCs w:val="20"/>
              </w:rPr>
            </w:pPr>
            <w:r>
              <w:rPr>
                <w:rFonts w:hint="eastAsia" w:ascii="宋体" w:hAnsi="宋体" w:cs="宋体"/>
                <w:color w:val="auto"/>
                <w:szCs w:val="21"/>
              </w:rPr>
              <w:t>管理评审频次为一年一次、本次管理评审于</w:t>
            </w:r>
            <w:r>
              <w:rPr>
                <w:rFonts w:hint="eastAsia"/>
                <w:lang w:val="en-US" w:eastAsia="zh-CN"/>
              </w:rPr>
              <w:t xml:space="preserve"> </w:t>
            </w:r>
            <w:r>
              <w:rPr>
                <w:rFonts w:hint="eastAsia" w:ascii="宋体" w:hAnsi="宋体"/>
                <w:sz w:val="24"/>
                <w:lang w:eastAsia="zh-CN"/>
              </w:rPr>
              <w:t>2020年</w:t>
            </w:r>
            <w:r>
              <w:rPr>
                <w:rFonts w:hint="eastAsia" w:ascii="宋体" w:hAnsi="宋体"/>
                <w:sz w:val="24"/>
                <w:lang w:val="en-US" w:eastAsia="zh-CN"/>
              </w:rPr>
              <w:t>11</w:t>
            </w:r>
            <w:r>
              <w:rPr>
                <w:rFonts w:hint="eastAsia" w:ascii="宋体" w:hAnsi="宋体"/>
                <w:sz w:val="24"/>
                <w:lang w:eastAsia="zh-CN"/>
              </w:rPr>
              <w:t>月</w:t>
            </w:r>
            <w:r>
              <w:rPr>
                <w:rFonts w:hint="eastAsia" w:ascii="宋体" w:hAnsi="宋体"/>
                <w:sz w:val="24"/>
                <w:lang w:val="en-US" w:eastAsia="zh-CN"/>
              </w:rPr>
              <w:t>28</w:t>
            </w:r>
            <w:r>
              <w:rPr>
                <w:rFonts w:hint="eastAsia" w:ascii="宋体" w:hAnsi="宋体"/>
                <w:sz w:val="24"/>
              </w:rPr>
              <w:t>日</w:t>
            </w:r>
            <w:r>
              <w:rPr>
                <w:rFonts w:hint="eastAsia" w:ascii="宋体" w:hAnsi="宋体" w:cs="宋体"/>
                <w:color w:val="auto"/>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EMS是否按规定对主要污染物（污水、废气、噪声等）及排放实施了例行的监视或测量，结果是否满足相关要求？</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p>
          <w:p>
            <w:pPr>
              <w:spacing w:line="240" w:lineRule="exact"/>
              <w:rPr>
                <w:b/>
                <w:color w:val="000000" w:themeColor="text1"/>
                <w:sz w:val="20"/>
                <w:szCs w:val="20"/>
              </w:rPr>
            </w:pPr>
            <w:r>
              <w:rPr>
                <w:rFonts w:hint="eastAsia"/>
                <w:color w:val="auto"/>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p>
          <w:p>
            <w:pPr>
              <w:spacing w:line="240" w:lineRule="exact"/>
              <w:rPr>
                <w:rFonts w:hint="default" w:eastAsia="宋体"/>
                <w:b/>
                <w:color w:val="000000" w:themeColor="text1"/>
                <w:spacing w:val="-20"/>
                <w:sz w:val="20"/>
                <w:szCs w:val="20"/>
                <w:lang w:val="en-US" w:eastAsia="zh-CN"/>
              </w:rPr>
            </w:pPr>
            <w:r>
              <w:rPr>
                <w:rFonts w:hint="eastAsia"/>
                <w:bCs/>
                <w:szCs w:val="21"/>
              </w:rPr>
              <w:t>一阶段</w:t>
            </w:r>
            <w:r>
              <w:rPr>
                <w:rFonts w:hint="eastAsia"/>
                <w:bCs/>
                <w:szCs w:val="21"/>
                <w:lang w:val="en-US" w:eastAsia="zh-CN"/>
              </w:rPr>
              <w:t>未提出书面不符合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4"/>
              </w:numPr>
              <w:spacing w:line="240" w:lineRule="exact"/>
              <w:rPr>
                <w:rFonts w:hint="eastAsia"/>
                <w:b/>
                <w:color w:val="000000" w:themeColor="text1"/>
                <w:szCs w:val="21"/>
              </w:rPr>
            </w:pPr>
            <w:r>
              <w:rPr>
                <w:rFonts w:hint="eastAsia"/>
                <w:b/>
                <w:color w:val="000000" w:themeColor="text1"/>
                <w:szCs w:val="21"/>
              </w:rPr>
              <w:t>上次不符合的整改情况（再认证填写）</w:t>
            </w:r>
          </w:p>
          <w:p>
            <w:pPr>
              <w:numPr>
                <w:numId w:val="0"/>
              </w:numPr>
              <w:spacing w:line="240" w:lineRule="exact"/>
              <w:ind w:firstLine="211" w:firstLineChars="100"/>
              <w:rPr>
                <w:rFonts w:hint="eastAsia"/>
                <w:b/>
                <w:color w:val="000000" w:themeColor="text1"/>
                <w:szCs w:val="21"/>
                <w:lang w:val="en-US" w:eastAsia="zh-CN"/>
              </w:rPr>
            </w:pPr>
          </w:p>
          <w:p>
            <w:pPr>
              <w:numPr>
                <w:numId w:val="0"/>
              </w:numPr>
              <w:spacing w:line="240" w:lineRule="exact"/>
              <w:ind w:firstLine="211" w:firstLineChars="100"/>
              <w:rPr>
                <w:rFonts w:hint="default" w:eastAsia="宋体"/>
                <w:b/>
                <w:color w:val="000000" w:themeColor="text1"/>
                <w:szCs w:val="21"/>
                <w:lang w:val="en-US" w:eastAsia="zh-CN"/>
              </w:rPr>
            </w:pPr>
            <w:r>
              <w:rPr>
                <w:rFonts w:hint="eastAsia"/>
                <w:b/>
                <w:color w:val="000000" w:themeColor="text1"/>
                <w:szCs w:val="21"/>
                <w:lang w:val="en-US" w:eastAsia="zh-CN"/>
              </w:rPr>
              <w:t>上次不符合：</w:t>
            </w:r>
            <w:r>
              <w:rPr>
                <w:rFonts w:hint="eastAsia"/>
                <w:b/>
                <w:color w:val="000000" w:themeColor="text1"/>
                <w:szCs w:val="21"/>
                <w:lang w:val="en-US" w:eastAsia="zh-CN"/>
                <w14:textFill>
                  <w14:solidFill>
                    <w14:schemeClr w14:val="tx1"/>
                  </w14:solidFill>
                </w14:textFill>
              </w:rPr>
              <w:t>“</w:t>
            </w:r>
            <w:r>
              <w:rPr>
                <w:rFonts w:hint="eastAsia" w:ascii="方正仿宋简体" w:eastAsia="方正仿宋简体"/>
                <w:b/>
                <w:color w:val="000000" w:themeColor="text1"/>
                <w:lang w:val="en-US" w:eastAsia="zh-CN"/>
                <w14:textFill>
                  <w14:solidFill>
                    <w14:schemeClr w14:val="tx1"/>
                  </w14:solidFill>
                </w14:textFill>
              </w:rPr>
              <w:t>生产现场装配人员</w:t>
            </w:r>
            <w:r>
              <w:rPr>
                <w:rFonts w:hint="eastAsia" w:ascii="方正仿宋简体" w:eastAsia="方正仿宋简体"/>
                <w:b/>
                <w:color w:val="000000" w:themeColor="text1"/>
                <w:lang w:eastAsia="zh-CN"/>
                <w14:textFill>
                  <w14:solidFill>
                    <w14:schemeClr w14:val="tx1"/>
                  </w14:solidFill>
                </w14:textFill>
              </w:rPr>
              <w:t>，</w:t>
            </w:r>
            <w:r>
              <w:rPr>
                <w:rFonts w:hint="eastAsia" w:ascii="方正仿宋简体" w:eastAsia="方正仿宋简体"/>
                <w:b/>
                <w:color w:val="000000" w:themeColor="text1"/>
                <w:lang w:val="en-US" w:eastAsia="zh-CN"/>
                <w14:textFill>
                  <w14:solidFill>
                    <w14:schemeClr w14:val="tx1"/>
                  </w14:solidFill>
                </w14:textFill>
              </w:rPr>
              <w:t>没有做好疫情防护</w:t>
            </w:r>
            <w:r>
              <w:rPr>
                <w:rFonts w:hint="eastAsia" w:ascii="方正仿宋简体" w:eastAsia="方正仿宋简体"/>
                <w:b/>
                <w:color w:val="000000" w:themeColor="text1"/>
                <w:lang w:eastAsia="zh-CN"/>
                <w14:textFill>
                  <w14:solidFill>
                    <w14:schemeClr w14:val="tx1"/>
                  </w14:solidFill>
                </w14:textFill>
              </w:rPr>
              <w:t>，</w:t>
            </w:r>
            <w:r>
              <w:rPr>
                <w:rFonts w:hint="eastAsia" w:ascii="方正仿宋简体" w:eastAsia="方正仿宋简体"/>
                <w:b/>
                <w:color w:val="000000" w:themeColor="text1"/>
                <w:lang w:val="en-US" w:eastAsia="zh-CN"/>
                <w14:textFill>
                  <w14:solidFill>
                    <w14:schemeClr w14:val="tx1"/>
                  </w14:solidFill>
                </w14:textFill>
              </w:rPr>
              <w:t>没有佩戴口罩”，此次现场审核没有出现此情况，整改有效。</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8"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cs="宋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ascii="宋体" w:hAnsi="宋体" w:cs="宋体"/>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2" w:hRule="atLeast"/>
        </w:trPr>
        <w:tc>
          <w:tcPr>
            <w:tcW w:w="10080" w:type="dxa"/>
          </w:tcPr>
          <w:p>
            <w:pPr>
              <w:spacing w:line="280" w:lineRule="exact"/>
            </w:pPr>
            <w:r>
              <w:rPr>
                <w:rFonts w:hint="eastAsia"/>
              </w:rPr>
              <w:t>1. ■QMS     ■EMS ■OHSMS的适宜性、充分性、运行有效性，自我完善机制等。管理体系满足适用要求和实现预期结果的能力。</w:t>
            </w:r>
          </w:p>
          <w:p>
            <w:pPr>
              <w:spacing w:line="280" w:lineRule="exact"/>
              <w:ind w:left="210" w:hanging="210" w:hangingChars="100"/>
            </w:pPr>
            <w:r>
              <w:rPr>
                <w:rFonts w:hint="eastAsia"/>
              </w:rPr>
              <w:t>（描述组织实施“过程控制”，满足标准要求和目标，向顾客提供稳定、合格产品，满足适用的质量/环境/职业健康安全法规要求，防止污染、重大事故和持续改进的情况以及对周边环境产生的影响，措施的有效性）</w:t>
            </w:r>
          </w:p>
          <w:p>
            <w:pPr>
              <w:pStyle w:val="16"/>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color w:val="000000"/>
                <w:szCs w:val="21"/>
              </w:rPr>
              <w:t>海南万象能源科技有限公司</w:t>
            </w:r>
            <w:r>
              <w:rPr>
                <w:rFonts w:hint="eastAsia"/>
                <w:color w:val="auto"/>
                <w:kern w:val="2"/>
                <w:sz w:val="21"/>
                <w:szCs w:val="21"/>
                <w:lang w:val="en-GB"/>
              </w:rPr>
              <w:t>的</w:t>
            </w:r>
          </w:p>
          <w:p>
            <w:pPr>
              <w:pStyle w:val="16"/>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kern w:val="2"/>
                <w:sz w:val="21"/>
                <w:szCs w:val="21"/>
                <w:lang w:val="en-GB"/>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rFonts w:hint="eastAsia"/>
              </w:rPr>
            </w:pPr>
          </w:p>
          <w:p>
            <w:pPr>
              <w:spacing w:line="240" w:lineRule="exact"/>
              <w:rPr>
                <w:rFonts w:hint="eastAsia"/>
              </w:rPr>
            </w:pPr>
          </w:p>
          <w:p>
            <w:pPr>
              <w:spacing w:line="240" w:lineRule="exact"/>
              <w:rPr>
                <w:rFonts w:hint="eastAsia"/>
              </w:rPr>
            </w:pPr>
          </w:p>
          <w:p>
            <w:pPr>
              <w:spacing w:line="240" w:lineRule="exact"/>
              <w:rPr>
                <w:rFonts w:hint="eastAsia"/>
              </w:rPr>
            </w:pPr>
          </w:p>
          <w:p>
            <w:pPr>
              <w:spacing w:line="240" w:lineRule="exact"/>
              <w:rPr>
                <w:rFonts w:hint="eastAsia"/>
              </w:rPr>
            </w:pPr>
          </w:p>
          <w:p>
            <w:pPr>
              <w:spacing w:line="240" w:lineRule="exact"/>
            </w:pPr>
            <w:r>
              <w:rPr>
                <w:rFonts w:hint="eastAsia"/>
              </w:rPr>
              <w:t>■QMS  ■EMS  ■OHSMS持续的符合性及运行的有效性，以及与认证范围的持续相关性和适宜性及自我完善机制等。</w:t>
            </w:r>
          </w:p>
          <w:p>
            <w:pPr>
              <w:spacing w:line="240" w:lineRule="exact"/>
            </w:pPr>
          </w:p>
          <w:p>
            <w:pPr>
              <w:spacing w:line="240" w:lineRule="exact"/>
            </w:pPr>
          </w:p>
          <w:p>
            <w:pPr>
              <w:spacing w:line="240" w:lineRule="exact"/>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同意推荐认证注册。</w:t>
            </w:r>
          </w:p>
          <w:p>
            <w:pPr>
              <w:spacing w:line="240" w:lineRule="exact"/>
            </w:pPr>
          </w:p>
          <w:p>
            <w:pPr>
              <w:pStyle w:val="10"/>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1"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ascii="宋体" w:hAnsi="宋体" w:cs="宋体"/>
                <w:b/>
                <w:color w:val="000000" w:themeColor="text1"/>
                <w:spacing w:val="-10"/>
                <w:szCs w:val="21"/>
              </w:rPr>
              <w:t>█</w:t>
            </w:r>
            <w:r>
              <w:rPr>
                <w:rFonts w:hint="eastAsia"/>
                <w:b/>
                <w:color w:val="000000" w:themeColor="text1"/>
              </w:rPr>
              <w:t>审核范围适宜，与申请范围一致</w:t>
            </w:r>
          </w:p>
          <w:p>
            <w:pPr>
              <w:rPr>
                <w:rFonts w:hint="eastAsia"/>
                <w:color w:val="000000"/>
                <w:szCs w:val="21"/>
              </w:rPr>
            </w:pPr>
            <w:r>
              <w:rPr>
                <w:rFonts w:hint="eastAsia" w:ascii="宋体" w:hAnsi="宋体"/>
                <w:szCs w:val="21"/>
              </w:rPr>
              <w:t>Q：资质范围内的高低压开关成套设备的生产和销售</w:t>
            </w:r>
          </w:p>
          <w:p>
            <w:pPr>
              <w:rPr>
                <w:rFonts w:hint="eastAsia" w:ascii="宋体" w:hAnsi="宋体"/>
                <w:szCs w:val="21"/>
              </w:rPr>
            </w:pPr>
            <w:r>
              <w:rPr>
                <w:rFonts w:hint="eastAsia" w:ascii="宋体" w:hAnsi="宋体"/>
                <w:szCs w:val="21"/>
              </w:rPr>
              <w:t>E：资质范围内的高低压开关成套设备的生产及销售所涉及场所的相关环境管理活动</w:t>
            </w:r>
          </w:p>
          <w:p>
            <w:pPr>
              <w:rPr>
                <w:b/>
                <w:color w:val="000000" w:themeColor="text1"/>
                <w:spacing w:val="-10"/>
                <w:sz w:val="22"/>
                <w:szCs w:val="22"/>
              </w:rPr>
            </w:pPr>
            <w:r>
              <w:rPr>
                <w:rFonts w:hint="eastAsia" w:ascii="宋体" w:hAnsi="宋体"/>
                <w:szCs w:val="21"/>
              </w:rPr>
              <w:t xml:space="preserve">O：资质范围内的高低压开关成套设备的生产及销售所涉及场所的相关职业健康安全管理活动 </w:t>
            </w:r>
            <w:bookmarkStart w:id="5" w:name="_GoBack"/>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lang w:eastAsia="zh-CN"/>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10"/>
                <w:sz w:val="22"/>
                <w:szCs w:val="22"/>
              </w:rPr>
            </w:pPr>
            <w:r>
              <w:rPr>
                <w:rFonts w:hint="eastAsia" w:ascii="宋体" w:hAnsi="宋体" w:cs="宋体"/>
                <w:b/>
                <w:color w:val="000000" w:themeColor="text1"/>
                <w:spacing w:val="-10"/>
                <w:szCs w:val="21"/>
              </w:rPr>
              <w:sym w:font="Wingdings" w:char="00A8"/>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ascii="宋体" w:hAnsi="宋体" w:cs="宋体"/>
                <w:b/>
                <w:color w:val="000000" w:themeColor="text1"/>
                <w:szCs w:val="21"/>
              </w:rPr>
              <w:sym w:font="Wingdings" w:char="00A8"/>
            </w:r>
            <w:r>
              <w:rPr>
                <w:rFonts w:hint="eastAsia"/>
                <w:b/>
                <w:color w:val="000000" w:themeColor="text1"/>
                <w:szCs w:val="21"/>
              </w:rPr>
              <w:t xml:space="preserve">QMS  </w:t>
            </w:r>
            <w:r>
              <w:rPr>
                <w:rFonts w:hint="eastAsia"/>
                <w:b/>
                <w:color w:val="000000" w:themeColor="text1"/>
                <w:spacing w:val="-10"/>
                <w:szCs w:val="21"/>
              </w:rPr>
              <w:t xml:space="preserve">   </w:t>
            </w:r>
            <w:r>
              <w:rPr>
                <w:rFonts w:hint="eastAsia" w:ascii="宋体" w:hAnsi="宋体" w:cs="宋体"/>
                <w:b/>
                <w:color w:val="000000" w:themeColor="text1"/>
                <w:spacing w:val="-10"/>
                <w:szCs w:val="21"/>
              </w:rPr>
              <w:sym w:font="Wingdings" w:char="00A8"/>
            </w:r>
            <w:r>
              <w:rPr>
                <w:rFonts w:hint="eastAsia"/>
                <w:b/>
                <w:color w:val="000000" w:themeColor="text1"/>
                <w:szCs w:val="21"/>
              </w:rPr>
              <w:t xml:space="preserve">EMS   </w:t>
            </w:r>
            <w:r>
              <w:rPr>
                <w:rFonts w:hint="eastAsia" w:ascii="宋体" w:hAnsi="宋体" w:cs="宋体"/>
                <w:b/>
                <w:color w:val="000000" w:themeColor="text1"/>
                <w:spacing w:val="-10"/>
                <w:szCs w:val="21"/>
              </w:rPr>
              <w:sym w:font="Wingdings" w:char="00A8"/>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16"/>
          <w:szCs w:val="1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    202</w:t>
      </w:r>
      <w:r>
        <w:rPr>
          <w:rFonts w:hint="eastAsia"/>
          <w:b/>
          <w:color w:val="000000" w:themeColor="text1"/>
          <w:lang w:val="en-US" w:eastAsia="zh-CN"/>
        </w:rPr>
        <w:t>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4</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18</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ascii="宋体" w:hAnsi="宋体"/>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cs="宋体"/>
          <w:b/>
          <w:bCs/>
          <w:color w:val="000000" w:themeColor="text1"/>
          <w:spacing w:val="-10"/>
          <w:szCs w:val="21"/>
        </w:rPr>
        <w:sym w:font="Wingdings" w:char="00A8"/>
      </w:r>
      <w:r>
        <w:rPr>
          <w:rFonts w:hint="eastAsia"/>
          <w:b/>
          <w:color w:val="000000" w:themeColor="text1"/>
          <w:szCs w:val="21"/>
        </w:rPr>
        <w:t>EMS(  )个一般不符合，(  )个严重不符合，</w:t>
      </w:r>
      <w:r>
        <w:rPr>
          <w:rFonts w:hint="eastAsia" w:ascii="宋体" w:hAnsi="宋体" w:cs="宋体"/>
          <w:b/>
          <w:color w:val="000000" w:themeColor="text1"/>
          <w:spacing w:val="-10"/>
          <w:szCs w:val="21"/>
        </w:rPr>
        <w:sym w:font="Wingdings" w:char="00A8"/>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cs="宋体"/>
          <w:b/>
          <w:bCs/>
          <w:color w:val="000000" w:themeColor="text1"/>
          <w:szCs w:val="21"/>
        </w:rPr>
        <w:sym w:font="Wingdings" w:char="00A8"/>
      </w:r>
      <w:r>
        <w:rPr>
          <w:rFonts w:hint="eastAsia"/>
          <w:b/>
          <w:color w:val="000000" w:themeColor="text1"/>
          <w:szCs w:val="21"/>
        </w:rPr>
        <w:t>OHSMS( )个一般不符合，(  )个严重不符合，</w:t>
      </w:r>
      <w:r>
        <w:rPr>
          <w:rFonts w:hint="eastAsia" w:ascii="宋体" w:hAnsi="宋体" w:cs="宋体"/>
          <w:b/>
          <w:color w:val="000000" w:themeColor="text1"/>
          <w:spacing w:val="-10"/>
          <w:szCs w:val="21"/>
        </w:rPr>
        <w:sym w:font="Wingdings" w:char="00A8"/>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ascii="宋体" w:hAnsi="宋体" w:cs="宋体"/>
          <w:b/>
          <w:color w:val="000000" w:themeColor="text1"/>
          <w:spacing w:val="-10"/>
          <w:szCs w:val="21"/>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w:t>
      </w:r>
      <w:r>
        <w:drawing>
          <wp:inline distT="0" distB="0" distL="114300" distR="114300">
            <wp:extent cx="847725" cy="528955"/>
            <wp:effectExtent l="0" t="0" r="3175"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a:stretch>
                      <a:fillRect/>
                    </a:stretch>
                  </pic:blipFill>
                  <pic:spPr>
                    <a:xfrm>
                      <a:off x="0" y="0"/>
                      <a:ext cx="847725" cy="528955"/>
                    </a:xfrm>
                    <a:prstGeom prst="rect">
                      <a:avLst/>
                    </a:prstGeom>
                    <a:noFill/>
                    <a:ln>
                      <a:noFill/>
                    </a:ln>
                  </pic:spPr>
                </pic:pic>
              </a:graphicData>
            </a:graphic>
          </wp:inline>
        </w:drawing>
      </w:r>
      <w:r>
        <w:rPr>
          <w:rFonts w:hint="eastAsia"/>
          <w:b/>
          <w:color w:val="000000" w:themeColor="text1"/>
          <w:szCs w:val="21"/>
        </w:rPr>
        <w:t xml:space="preserve">              日期:    202</w:t>
      </w:r>
      <w:r>
        <w:rPr>
          <w:rFonts w:hint="eastAsia"/>
          <w:b/>
          <w:color w:val="000000" w:themeColor="text1"/>
          <w:szCs w:val="21"/>
          <w:lang w:val="en-US" w:eastAsia="zh-CN"/>
        </w:rPr>
        <w:t>1</w:t>
      </w:r>
      <w:r>
        <w:rPr>
          <w:rFonts w:hint="eastAsia"/>
          <w:b/>
          <w:color w:val="000000" w:themeColor="text1"/>
          <w:szCs w:val="21"/>
        </w:rPr>
        <w:t xml:space="preserve">  年</w:t>
      </w:r>
      <w:r>
        <w:rPr>
          <w:rFonts w:hint="eastAsia"/>
          <w:b/>
          <w:color w:val="000000" w:themeColor="text1"/>
          <w:szCs w:val="21"/>
          <w:lang w:val="en-US" w:eastAsia="zh-CN"/>
        </w:rPr>
        <w:t>4</w:t>
      </w:r>
      <w:r>
        <w:rPr>
          <w:rFonts w:hint="eastAsia"/>
          <w:b/>
          <w:color w:val="000000" w:themeColor="text1"/>
          <w:szCs w:val="21"/>
        </w:rPr>
        <w:t>月</w:t>
      </w:r>
      <w:r>
        <w:rPr>
          <w:rFonts w:hint="eastAsia"/>
          <w:b/>
          <w:color w:val="000000" w:themeColor="text1"/>
          <w:szCs w:val="21"/>
          <w:lang w:val="en-US" w:eastAsia="zh-CN"/>
        </w:rPr>
        <w:t>18</w:t>
      </w:r>
      <w:r>
        <w:rPr>
          <w:rFonts w:hint="eastAsia"/>
          <w:b/>
          <w:color w:val="000000" w:themeColor="text1"/>
          <w:szCs w:val="21"/>
        </w:rPr>
        <w:t xml:space="preserve">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napToGrid w:val="0"/>
        <w:spacing w:line="360" w:lineRule="auto"/>
        <w:ind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STKaiti">
    <w:altName w:val="宋体"/>
    <w:panose1 w:val="00000000000000000000"/>
    <w:charset w:val="86"/>
    <w:family w:val="auto"/>
    <w:pitch w:val="default"/>
    <w:sig w:usb0="00000000" w:usb1="00000000" w:usb2="00000010" w:usb3="00000000" w:csb0="0004009F" w:csb1="00000000"/>
  </w:font>
  <w:font w:name="Lucida Sans">
    <w:altName w:val="Lucida Sans Unicode"/>
    <w:panose1 w:val="00000000000000000000"/>
    <w:charset w:val="00"/>
    <w:family w:val="swiss"/>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200000BF" w:csb1="D7F7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C287D6"/>
    <w:multiLevelType w:val="singleLevel"/>
    <w:tmpl w:val="CBC287D6"/>
    <w:lvl w:ilvl="0" w:tentative="0">
      <w:start w:val="5"/>
      <w:numFmt w:val="decimal"/>
      <w:suff w:val="space"/>
      <w:lvlText w:val="%1."/>
      <w:lvlJc w:val="left"/>
    </w:lvl>
  </w:abstractNum>
  <w:abstractNum w:abstractNumId="1">
    <w:nsid w:val="406EA223"/>
    <w:multiLevelType w:val="singleLevel"/>
    <w:tmpl w:val="406EA223"/>
    <w:lvl w:ilvl="0" w:tentative="0">
      <w:start w:val="2"/>
      <w:numFmt w:val="decimal"/>
      <w:suff w:val="nothing"/>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01AAD"/>
    <w:rsid w:val="000247CC"/>
    <w:rsid w:val="000443F0"/>
    <w:rsid w:val="00075C70"/>
    <w:rsid w:val="0008517E"/>
    <w:rsid w:val="000F2F8F"/>
    <w:rsid w:val="0012779E"/>
    <w:rsid w:val="00197C64"/>
    <w:rsid w:val="001B0410"/>
    <w:rsid w:val="001D5696"/>
    <w:rsid w:val="002015E3"/>
    <w:rsid w:val="00250BBA"/>
    <w:rsid w:val="00271572"/>
    <w:rsid w:val="0028280E"/>
    <w:rsid w:val="002B120A"/>
    <w:rsid w:val="002B1290"/>
    <w:rsid w:val="002C24DB"/>
    <w:rsid w:val="002D1483"/>
    <w:rsid w:val="002F4894"/>
    <w:rsid w:val="002F549E"/>
    <w:rsid w:val="00304003"/>
    <w:rsid w:val="0030798E"/>
    <w:rsid w:val="00341103"/>
    <w:rsid w:val="00373391"/>
    <w:rsid w:val="00376915"/>
    <w:rsid w:val="003D3F5A"/>
    <w:rsid w:val="003E3D4F"/>
    <w:rsid w:val="003F74C1"/>
    <w:rsid w:val="004057A0"/>
    <w:rsid w:val="004100EA"/>
    <w:rsid w:val="00464786"/>
    <w:rsid w:val="00484B0B"/>
    <w:rsid w:val="004C1602"/>
    <w:rsid w:val="004D3E71"/>
    <w:rsid w:val="004F60E1"/>
    <w:rsid w:val="005164BD"/>
    <w:rsid w:val="00545896"/>
    <w:rsid w:val="00584F23"/>
    <w:rsid w:val="00592421"/>
    <w:rsid w:val="005B46F0"/>
    <w:rsid w:val="005B675E"/>
    <w:rsid w:val="005E1CBB"/>
    <w:rsid w:val="00603285"/>
    <w:rsid w:val="00610FA8"/>
    <w:rsid w:val="006306D9"/>
    <w:rsid w:val="00632A83"/>
    <w:rsid w:val="0063633F"/>
    <w:rsid w:val="00664382"/>
    <w:rsid w:val="006C6F24"/>
    <w:rsid w:val="00712F52"/>
    <w:rsid w:val="00745B30"/>
    <w:rsid w:val="00770469"/>
    <w:rsid w:val="00775D3A"/>
    <w:rsid w:val="00784CC6"/>
    <w:rsid w:val="007C4DD7"/>
    <w:rsid w:val="008030AC"/>
    <w:rsid w:val="00845D78"/>
    <w:rsid w:val="00850E86"/>
    <w:rsid w:val="00853D8C"/>
    <w:rsid w:val="00857EF7"/>
    <w:rsid w:val="008648E8"/>
    <w:rsid w:val="00877EB8"/>
    <w:rsid w:val="008A6929"/>
    <w:rsid w:val="008B07CC"/>
    <w:rsid w:val="008B4C7B"/>
    <w:rsid w:val="008D5332"/>
    <w:rsid w:val="008E0B4A"/>
    <w:rsid w:val="009203AC"/>
    <w:rsid w:val="0092740B"/>
    <w:rsid w:val="00932B07"/>
    <w:rsid w:val="0098126B"/>
    <w:rsid w:val="00986C4E"/>
    <w:rsid w:val="009958FB"/>
    <w:rsid w:val="009A7BA8"/>
    <w:rsid w:val="009E496A"/>
    <w:rsid w:val="009E741A"/>
    <w:rsid w:val="00A02276"/>
    <w:rsid w:val="00A057D9"/>
    <w:rsid w:val="00A112DB"/>
    <w:rsid w:val="00AB1797"/>
    <w:rsid w:val="00AB688A"/>
    <w:rsid w:val="00AC3F5D"/>
    <w:rsid w:val="00AE24C6"/>
    <w:rsid w:val="00AE71F3"/>
    <w:rsid w:val="00AF66F6"/>
    <w:rsid w:val="00B1795A"/>
    <w:rsid w:val="00B21B09"/>
    <w:rsid w:val="00B34573"/>
    <w:rsid w:val="00BC3244"/>
    <w:rsid w:val="00BD0C5C"/>
    <w:rsid w:val="00BD2793"/>
    <w:rsid w:val="00BD51AC"/>
    <w:rsid w:val="00C634D9"/>
    <w:rsid w:val="00C757A7"/>
    <w:rsid w:val="00D00BA6"/>
    <w:rsid w:val="00D058F6"/>
    <w:rsid w:val="00D1113C"/>
    <w:rsid w:val="00D40E52"/>
    <w:rsid w:val="00DD2268"/>
    <w:rsid w:val="00DE3745"/>
    <w:rsid w:val="00E148C5"/>
    <w:rsid w:val="00E255D2"/>
    <w:rsid w:val="00E26718"/>
    <w:rsid w:val="00E32B36"/>
    <w:rsid w:val="00E62429"/>
    <w:rsid w:val="00E9214A"/>
    <w:rsid w:val="00EF1481"/>
    <w:rsid w:val="00F326DC"/>
    <w:rsid w:val="00F64301"/>
    <w:rsid w:val="00F86288"/>
    <w:rsid w:val="00FA5C98"/>
    <w:rsid w:val="00FD38F7"/>
    <w:rsid w:val="00FF14F7"/>
    <w:rsid w:val="00FF6078"/>
    <w:rsid w:val="02775545"/>
    <w:rsid w:val="0F3312CC"/>
    <w:rsid w:val="14E11A4F"/>
    <w:rsid w:val="1C440198"/>
    <w:rsid w:val="21611269"/>
    <w:rsid w:val="21A15F24"/>
    <w:rsid w:val="224B0FC9"/>
    <w:rsid w:val="2AB677F2"/>
    <w:rsid w:val="2C0A04A2"/>
    <w:rsid w:val="33594BC6"/>
    <w:rsid w:val="359B0EC9"/>
    <w:rsid w:val="3C6210A8"/>
    <w:rsid w:val="41FE1385"/>
    <w:rsid w:val="4B4A3A22"/>
    <w:rsid w:val="4C1F4C71"/>
    <w:rsid w:val="51FA4E68"/>
    <w:rsid w:val="58757E83"/>
    <w:rsid w:val="5CDD1C2D"/>
    <w:rsid w:val="6D034814"/>
    <w:rsid w:val="7A3A03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qFormat/>
    <w:uiPriority w:val="99"/>
    <w:rPr>
      <w:color w:val="0000FF"/>
      <w:u w:val="single"/>
    </w:rPr>
  </w:style>
  <w:style w:type="paragraph" w:customStyle="1" w:styleId="10">
    <w:name w:val="表格文字"/>
    <w:basedOn w:val="1"/>
    <w:qFormat/>
    <w:uiPriority w:val="0"/>
    <w:pPr>
      <w:spacing w:before="25" w:after="25"/>
    </w:pPr>
    <w:rPr>
      <w:bCs/>
      <w:spacing w:val="10"/>
    </w:rPr>
  </w:style>
  <w:style w:type="paragraph" w:styleId="11">
    <w:name w:val="List Paragraph"/>
    <w:basedOn w:val="1"/>
    <w:qFormat/>
    <w:uiPriority w:val="34"/>
    <w:pPr>
      <w:ind w:firstLine="420" w:firstLineChars="200"/>
    </w:pPr>
  </w:style>
  <w:style w:type="character" w:customStyle="1" w:styleId="12">
    <w:name w:val="页眉 字符"/>
    <w:basedOn w:val="8"/>
    <w:link w:val="2"/>
    <w:qFormat/>
    <w:uiPriority w:val="99"/>
    <w:rPr>
      <w:rFonts w:ascii="Times New Roman" w:hAnsi="Times New Roman" w:eastAsia="宋体" w:cs="Times New Roman"/>
      <w:sz w:val="18"/>
      <w:szCs w:val="18"/>
    </w:rPr>
  </w:style>
  <w:style w:type="character" w:customStyle="1" w:styleId="13">
    <w:name w:val="页脚 字符"/>
    <w:basedOn w:val="8"/>
    <w:link w:val="4"/>
    <w:qFormat/>
    <w:uiPriority w:val="99"/>
    <w:rPr>
      <w:rFonts w:ascii="Times New Roman" w:hAnsi="Times New Roman" w:eastAsia="宋体" w:cs="Times New Roman"/>
      <w:sz w:val="18"/>
      <w:szCs w:val="18"/>
    </w:rPr>
  </w:style>
  <w:style w:type="character" w:customStyle="1" w:styleId="14">
    <w:name w:val="批注框文本 字符"/>
    <w:basedOn w:val="8"/>
    <w:link w:val="3"/>
    <w:semiHidden/>
    <w:qFormat/>
    <w:uiPriority w:val="99"/>
    <w:rPr>
      <w:rFonts w:ascii="Times New Roman" w:hAnsi="Times New Roman" w:eastAsia="宋体" w:cs="Times New Roman"/>
      <w:sz w:val="18"/>
      <w:szCs w:val="18"/>
    </w:rPr>
  </w:style>
  <w:style w:type="paragraph" w:customStyle="1" w:styleId="15">
    <w:name w:val="列出段落1"/>
    <w:basedOn w:val="1"/>
    <w:qFormat/>
    <w:uiPriority w:val="34"/>
    <w:pPr>
      <w:ind w:firstLine="420" w:firstLineChars="200"/>
    </w:p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61F0AE-22EF-4223-82E8-5906C8F68A3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1427</Words>
  <Characters>8138</Characters>
  <Lines>67</Lines>
  <Paragraphs>19</Paragraphs>
  <TotalTime>3</TotalTime>
  <ScaleCrop>false</ScaleCrop>
  <LinksUpToDate>false</LinksUpToDate>
  <CharactersWithSpaces>9546</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2019-06-28T04:11:00Z</cp:lastPrinted>
  <dcterms:modified xsi:type="dcterms:W3CDTF">2021-04-16T02:11:31Z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6D86B7763AE74EA09537DCD1C1483EE5</vt:lpwstr>
  </property>
</Properties>
</file>