
<file path=[Content_Types].xml><?xml version="1.0" encoding="utf-8"?>
<Types xmlns="http://schemas.openxmlformats.org/package/2006/content-types">
  <Default Extension="xml" ContentType="application/xml"/>
  <Default Extension="wmf" ContentType="image/x-wmf"/>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80" w:lineRule="exact"/>
        <w:jc w:val="center"/>
        <w:rPr>
          <w:rFonts w:ascii="隶书" w:hAnsi="宋体" w:eastAsia="隶书"/>
          <w:bCs/>
          <w:color w:val="000000"/>
          <w:sz w:val="36"/>
          <w:szCs w:val="36"/>
        </w:rPr>
      </w:pPr>
      <w:r>
        <w:rPr>
          <w:rFonts w:hint="eastAsia" w:ascii="隶书" w:hAnsi="宋体" w:eastAsia="隶书"/>
          <w:bCs/>
          <w:color w:val="000000"/>
          <w:sz w:val="36"/>
          <w:szCs w:val="36"/>
        </w:rPr>
        <w:t>管理体系审核记录表</w:t>
      </w:r>
    </w:p>
    <w:tbl>
      <w:tblPr>
        <w:tblStyle w:val="7"/>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960"/>
        <w:gridCol w:w="10943"/>
        <w:gridCol w:w="64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160" w:type="dxa"/>
            <w:vMerge w:val="restart"/>
            <w:vAlign w:val="center"/>
          </w:tcPr>
          <w:p>
            <w:pPr>
              <w:spacing w:before="120"/>
              <w:jc w:val="center"/>
              <w:rPr>
                <w:rFonts w:ascii="宋体" w:hAnsi="宋体" w:cs="宋体"/>
                <w:szCs w:val="21"/>
              </w:rPr>
            </w:pPr>
            <w:r>
              <w:rPr>
                <w:rFonts w:hint="eastAsia" w:ascii="宋体" w:hAnsi="宋体" w:cs="宋体"/>
                <w:szCs w:val="21"/>
              </w:rPr>
              <w:t>过程与活动、</w:t>
            </w:r>
          </w:p>
          <w:p>
            <w:pPr>
              <w:jc w:val="center"/>
              <w:rPr>
                <w:rFonts w:ascii="宋体" w:hAnsi="宋体" w:cs="宋体"/>
                <w:szCs w:val="21"/>
              </w:rPr>
            </w:pPr>
            <w:r>
              <w:rPr>
                <w:rFonts w:hint="eastAsia" w:ascii="宋体" w:hAnsi="宋体" w:cs="宋体"/>
                <w:szCs w:val="21"/>
              </w:rPr>
              <w:t>抽样计划</w:t>
            </w:r>
          </w:p>
        </w:tc>
        <w:tc>
          <w:tcPr>
            <w:tcW w:w="960" w:type="dxa"/>
            <w:vMerge w:val="restart"/>
            <w:vAlign w:val="center"/>
          </w:tcPr>
          <w:p>
            <w:pPr>
              <w:rPr>
                <w:rFonts w:ascii="宋体" w:hAnsi="宋体" w:cs="宋体"/>
                <w:szCs w:val="21"/>
              </w:rPr>
            </w:pPr>
            <w:r>
              <w:rPr>
                <w:rFonts w:hint="eastAsia" w:ascii="宋体" w:hAnsi="宋体" w:cs="宋体"/>
                <w:szCs w:val="21"/>
              </w:rPr>
              <w:t>涉及</w:t>
            </w:r>
          </w:p>
          <w:p>
            <w:pPr>
              <w:rPr>
                <w:rFonts w:ascii="宋体" w:hAnsi="宋体" w:cs="宋体"/>
                <w:szCs w:val="21"/>
              </w:rPr>
            </w:pPr>
            <w:r>
              <w:rPr>
                <w:rFonts w:hint="eastAsia" w:ascii="宋体" w:hAnsi="宋体" w:cs="宋体"/>
                <w:szCs w:val="21"/>
              </w:rPr>
              <w:t>条款</w:t>
            </w:r>
          </w:p>
        </w:tc>
        <w:tc>
          <w:tcPr>
            <w:tcW w:w="10943" w:type="dxa"/>
            <w:vAlign w:val="center"/>
          </w:tcPr>
          <w:p>
            <w:pPr>
              <w:rPr>
                <w:rFonts w:ascii="宋体" w:hAnsi="宋体" w:cs="宋体"/>
                <w:szCs w:val="21"/>
              </w:rPr>
            </w:pPr>
            <w:r>
              <w:rPr>
                <w:rFonts w:hint="eastAsia" w:ascii="宋体" w:hAnsi="宋体" w:cs="宋体"/>
                <w:szCs w:val="21"/>
              </w:rPr>
              <w:t>受审核部门：</w:t>
            </w:r>
            <w:r>
              <w:rPr>
                <w:rFonts w:hint="eastAsia" w:ascii="宋体" w:hAnsi="宋体" w:cs="宋体"/>
                <w:szCs w:val="21"/>
                <w:lang w:val="en-US" w:eastAsia="zh-CN"/>
              </w:rPr>
              <w:t>销售部</w:t>
            </w:r>
            <w:r>
              <w:rPr>
                <w:rFonts w:hint="eastAsia" w:ascii="宋体" w:hAnsi="宋体" w:cs="宋体"/>
                <w:szCs w:val="21"/>
              </w:rPr>
              <w:t xml:space="preserve">         主管领导：何昌宾     陪同人员：李娜</w:t>
            </w:r>
            <w:r>
              <w:rPr>
                <w:rFonts w:ascii="宋体" w:hAnsi="宋体" w:cs="宋体"/>
                <w:szCs w:val="21"/>
              </w:rPr>
              <w:t xml:space="preserve"> </w:t>
            </w:r>
          </w:p>
        </w:tc>
        <w:tc>
          <w:tcPr>
            <w:tcW w:w="646" w:type="dxa"/>
            <w:vMerge w:val="restart"/>
            <w:vAlign w:val="center"/>
          </w:tcPr>
          <w:p>
            <w:pPr>
              <w:rPr>
                <w:rFonts w:ascii="宋体" w:hAnsi="宋体" w:cs="宋体"/>
                <w:szCs w:val="21"/>
              </w:rPr>
            </w:pPr>
            <w:r>
              <w:rPr>
                <w:rFonts w:hint="eastAsia" w:ascii="宋体" w:hAnsi="宋体" w:cs="宋体"/>
                <w:szCs w:val="21"/>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160" w:type="dxa"/>
            <w:vMerge w:val="continue"/>
            <w:vAlign w:val="center"/>
          </w:tcPr>
          <w:p>
            <w:pPr>
              <w:rPr>
                <w:rFonts w:ascii="宋体" w:hAnsi="宋体" w:cs="宋体"/>
                <w:szCs w:val="21"/>
              </w:rPr>
            </w:pPr>
          </w:p>
        </w:tc>
        <w:tc>
          <w:tcPr>
            <w:tcW w:w="960" w:type="dxa"/>
            <w:vMerge w:val="continue"/>
            <w:vAlign w:val="center"/>
          </w:tcPr>
          <w:p>
            <w:pPr>
              <w:rPr>
                <w:rFonts w:ascii="宋体" w:hAnsi="宋体" w:cs="宋体"/>
                <w:szCs w:val="21"/>
              </w:rPr>
            </w:pPr>
          </w:p>
        </w:tc>
        <w:tc>
          <w:tcPr>
            <w:tcW w:w="10943" w:type="dxa"/>
            <w:vAlign w:val="center"/>
          </w:tcPr>
          <w:p>
            <w:pPr>
              <w:spacing w:before="120"/>
              <w:rPr>
                <w:rFonts w:hint="default" w:ascii="宋体" w:hAnsi="宋体" w:eastAsia="宋体" w:cs="宋体"/>
                <w:szCs w:val="21"/>
                <w:lang w:val="en-US" w:eastAsia="zh-CN"/>
              </w:rPr>
            </w:pPr>
            <w:r>
              <w:rPr>
                <w:rFonts w:hint="eastAsia" w:ascii="宋体" w:hAnsi="宋体" w:cs="宋体"/>
                <w:szCs w:val="21"/>
              </w:rPr>
              <w:t>审核员：李</w:t>
            </w:r>
            <w:r>
              <w:rPr>
                <w:rFonts w:hint="eastAsia" w:ascii="宋体" w:hAnsi="宋体" w:cs="宋体"/>
                <w:szCs w:val="21"/>
                <w:lang w:val="en-US" w:eastAsia="zh-CN"/>
              </w:rPr>
              <w:t>京田</w:t>
            </w:r>
            <w:r>
              <w:rPr>
                <w:rFonts w:hint="eastAsia" w:ascii="宋体" w:hAnsi="宋体" w:cs="宋体"/>
                <w:szCs w:val="21"/>
              </w:rPr>
              <w:t xml:space="preserve">     审核时间：202</w:t>
            </w:r>
            <w:r>
              <w:rPr>
                <w:rFonts w:hint="eastAsia" w:ascii="宋体" w:hAnsi="宋体" w:cs="宋体"/>
                <w:szCs w:val="21"/>
                <w:lang w:val="en-US" w:eastAsia="zh-CN"/>
              </w:rPr>
              <w:t>1.4.16</w:t>
            </w:r>
            <w:bookmarkStart w:id="0" w:name="_GoBack"/>
            <w:bookmarkEnd w:id="0"/>
          </w:p>
        </w:tc>
        <w:tc>
          <w:tcPr>
            <w:tcW w:w="646" w:type="dxa"/>
            <w:vMerge w:val="continue"/>
          </w:tcPr>
          <w:p>
            <w:pP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3" w:hRule="atLeast"/>
        </w:trPr>
        <w:tc>
          <w:tcPr>
            <w:tcW w:w="2160" w:type="dxa"/>
            <w:vMerge w:val="continue"/>
            <w:vAlign w:val="center"/>
          </w:tcPr>
          <w:p>
            <w:pPr>
              <w:rPr>
                <w:rFonts w:ascii="宋体" w:hAnsi="宋体" w:cs="宋体"/>
                <w:szCs w:val="21"/>
              </w:rPr>
            </w:pPr>
          </w:p>
        </w:tc>
        <w:tc>
          <w:tcPr>
            <w:tcW w:w="960" w:type="dxa"/>
            <w:vMerge w:val="continue"/>
            <w:vAlign w:val="center"/>
          </w:tcPr>
          <w:p>
            <w:pPr>
              <w:rPr>
                <w:rFonts w:ascii="宋体" w:hAnsi="宋体" w:cs="宋体"/>
                <w:szCs w:val="21"/>
              </w:rPr>
            </w:pPr>
          </w:p>
        </w:tc>
        <w:tc>
          <w:tcPr>
            <w:tcW w:w="10943" w:type="dxa"/>
            <w:vAlign w:val="center"/>
          </w:tcPr>
          <w:p>
            <w:pPr>
              <w:rPr>
                <w:rFonts w:ascii="宋体" w:hAnsi="宋体"/>
                <w:sz w:val="18"/>
                <w:szCs w:val="22"/>
              </w:rPr>
            </w:pPr>
            <w:r>
              <w:rPr>
                <w:rFonts w:hint="eastAsia" w:ascii="宋体" w:hAnsi="宋体"/>
                <w:sz w:val="18"/>
                <w:szCs w:val="22"/>
              </w:rPr>
              <w:t>ES:5.3/6.2/6.1.2/8.1/8.2</w:t>
            </w:r>
          </w:p>
          <w:p>
            <w:pPr>
              <w:pStyle w:val="2"/>
            </w:pPr>
          </w:p>
        </w:tc>
        <w:tc>
          <w:tcPr>
            <w:tcW w:w="646" w:type="dxa"/>
            <w:vMerge w:val="continue"/>
          </w:tcPr>
          <w:p>
            <w:pP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160" w:type="dxa"/>
          </w:tcPr>
          <w:p>
            <w:pPr>
              <w:spacing w:line="280" w:lineRule="exact"/>
              <w:rPr>
                <w:rFonts w:ascii="宋体" w:hAnsi="宋体" w:cs="宋体"/>
                <w:szCs w:val="21"/>
              </w:rPr>
            </w:pPr>
            <w:r>
              <w:rPr>
                <w:rFonts w:hint="eastAsia" w:ascii="宋体" w:hAnsi="宋体" w:cs="宋体"/>
                <w:szCs w:val="21"/>
              </w:rPr>
              <w:t>组织的岗位、职责和权限</w:t>
            </w:r>
          </w:p>
          <w:p>
            <w:pPr>
              <w:spacing w:line="280" w:lineRule="exact"/>
              <w:rPr>
                <w:rFonts w:ascii="宋体" w:hAnsi="宋体" w:cs="宋体"/>
                <w:szCs w:val="21"/>
              </w:rPr>
            </w:pPr>
          </w:p>
        </w:tc>
        <w:tc>
          <w:tcPr>
            <w:tcW w:w="960" w:type="dxa"/>
          </w:tcPr>
          <w:p>
            <w:pPr>
              <w:spacing w:line="280" w:lineRule="exact"/>
              <w:rPr>
                <w:rFonts w:ascii="宋体" w:cs="宋体"/>
                <w:szCs w:val="21"/>
              </w:rPr>
            </w:pPr>
            <w:r>
              <w:rPr>
                <w:rFonts w:hint="eastAsia" w:ascii="宋体" w:cs="宋体"/>
                <w:szCs w:val="21"/>
              </w:rPr>
              <w:t>E</w:t>
            </w:r>
            <w:r>
              <w:rPr>
                <w:rFonts w:ascii="宋体" w:cs="宋体"/>
                <w:szCs w:val="21"/>
              </w:rPr>
              <w:t>/S5.3</w:t>
            </w:r>
          </w:p>
          <w:p>
            <w:pPr>
              <w:spacing w:line="280" w:lineRule="exact"/>
              <w:rPr>
                <w:rFonts w:ascii="宋体" w:hAnsi="宋体" w:cs="宋体"/>
                <w:szCs w:val="21"/>
              </w:rPr>
            </w:pPr>
          </w:p>
        </w:tc>
        <w:tc>
          <w:tcPr>
            <w:tcW w:w="10943" w:type="dxa"/>
            <w:vAlign w:val="center"/>
          </w:tcPr>
          <w:p>
            <w:pPr>
              <w:spacing w:line="360" w:lineRule="auto"/>
              <w:ind w:firstLine="420" w:firstLineChars="200"/>
              <w:rPr>
                <w:rFonts w:hint="eastAsia"/>
              </w:rPr>
            </w:pPr>
            <w:r>
              <w:rPr>
                <w:rFonts w:hint="eastAsia" w:ascii="宋体" w:hAnsi="宋体" w:cs="宋体"/>
                <w:szCs w:val="21"/>
              </w:rPr>
              <w:t>公司手册文件和管理文件中确定了公司机构并规定了各岗位人员职责、权限和相互关系，并在公司内对各级员工进行了必要的传达。</w:t>
            </w:r>
            <w:r>
              <w:rPr>
                <w:rFonts w:hint="eastAsia"/>
              </w:rPr>
              <w:t>询问主要职责：贯彻落实体系标准，作好环境、职业安全健康管理体系的具体策划和组织管理工作；负责环境和职业健康安全管理体系的内部审核；组织检查环境、职业安全健康管理体系过程的运行情况。</w:t>
            </w:r>
          </w:p>
          <w:p>
            <w:pPr>
              <w:spacing w:line="360" w:lineRule="auto"/>
              <w:ind w:firstLine="420" w:firstLineChars="200"/>
              <w:rPr>
                <w:rFonts w:hint="eastAsia"/>
              </w:rPr>
            </w:pPr>
            <w:r>
              <w:rPr>
                <w:rFonts w:hint="eastAsia"/>
              </w:rPr>
              <w:t>何昌宾销售主持市场部经理工作；</w:t>
            </w:r>
          </w:p>
          <w:p>
            <w:pPr>
              <w:widowControl/>
              <w:numPr>
                <w:ilvl w:val="0"/>
                <w:numId w:val="1"/>
              </w:numPr>
              <w:spacing w:after="0" w:line="400" w:lineRule="exact"/>
              <w:jc w:val="left"/>
              <w:textAlignment w:val="baseline"/>
              <w:rPr>
                <w:rFonts w:hint="eastAsia" w:ascii="宋体" w:hAnsi="宋体" w:cs="宋体"/>
                <w:szCs w:val="21"/>
              </w:rPr>
            </w:pPr>
            <w:r>
              <w:rPr>
                <w:rFonts w:hint="eastAsia" w:ascii="宋体" w:hAnsi="宋体" w:cs="宋体"/>
                <w:szCs w:val="21"/>
              </w:rPr>
              <w:t>贯彻公司质量环境和职业健康安全方针，完成质量环境和职业健康安全目标，对公司合同/订单、顾客服务负责；</w:t>
            </w:r>
          </w:p>
          <w:p>
            <w:pPr>
              <w:widowControl/>
              <w:numPr>
                <w:ilvl w:val="0"/>
                <w:numId w:val="1"/>
              </w:numPr>
              <w:spacing w:after="0" w:line="400" w:lineRule="exact"/>
              <w:jc w:val="left"/>
              <w:textAlignment w:val="baseline"/>
              <w:rPr>
                <w:rFonts w:hint="eastAsia" w:ascii="宋体" w:hAnsi="宋体" w:cs="宋体"/>
                <w:szCs w:val="21"/>
              </w:rPr>
            </w:pPr>
            <w:r>
              <w:rPr>
                <w:rFonts w:hint="eastAsia" w:ascii="宋体" w:hAnsi="宋体" w:cs="宋体"/>
                <w:szCs w:val="21"/>
              </w:rPr>
              <w:t>组织合同评审和协调活动，在合同或订单签订之前，对每份合同或订单按要求进行评审，在完成评审后代表公司对外签订合同或订单；</w:t>
            </w:r>
          </w:p>
          <w:p>
            <w:pPr>
              <w:widowControl/>
              <w:numPr>
                <w:ilvl w:val="0"/>
                <w:numId w:val="1"/>
              </w:numPr>
              <w:spacing w:after="0" w:line="400" w:lineRule="exact"/>
              <w:jc w:val="left"/>
              <w:textAlignment w:val="baseline"/>
              <w:rPr>
                <w:rFonts w:hint="eastAsia" w:ascii="宋体" w:hAnsi="宋体" w:cs="宋体"/>
                <w:szCs w:val="21"/>
              </w:rPr>
            </w:pPr>
            <w:r>
              <w:rPr>
                <w:rFonts w:hint="eastAsia" w:ascii="宋体" w:hAnsi="宋体" w:cs="宋体"/>
                <w:szCs w:val="21"/>
              </w:rPr>
              <w:t>全面识别顾客的需求，按订单要求及时下达生产任务单，做好与生产技术部门的协调工作，确保顾客的需求得到落实、解决。</w:t>
            </w:r>
          </w:p>
          <w:p>
            <w:pPr>
              <w:widowControl/>
              <w:numPr>
                <w:ilvl w:val="0"/>
                <w:numId w:val="1"/>
              </w:numPr>
              <w:spacing w:after="0" w:line="400" w:lineRule="exact"/>
              <w:jc w:val="left"/>
              <w:textAlignment w:val="baseline"/>
              <w:rPr>
                <w:rFonts w:hint="eastAsia" w:ascii="宋体" w:hAnsi="宋体" w:cs="宋体"/>
                <w:szCs w:val="21"/>
              </w:rPr>
            </w:pPr>
            <w:r>
              <w:rPr>
                <w:rFonts w:hint="eastAsia" w:ascii="宋体" w:hAnsi="宋体" w:cs="宋体"/>
                <w:szCs w:val="21"/>
              </w:rPr>
              <w:t>跟踪、督促生产技术部门的生产进度，对各订单产品的完成情况和销售情况作出通报。</w:t>
            </w:r>
          </w:p>
          <w:p>
            <w:pPr>
              <w:widowControl/>
              <w:numPr>
                <w:ilvl w:val="0"/>
                <w:numId w:val="1"/>
              </w:numPr>
              <w:spacing w:after="0" w:line="400" w:lineRule="exact"/>
              <w:jc w:val="left"/>
              <w:textAlignment w:val="baseline"/>
              <w:rPr>
                <w:rFonts w:hint="eastAsia" w:ascii="宋体" w:hAnsi="宋体" w:cs="宋体"/>
                <w:szCs w:val="21"/>
              </w:rPr>
            </w:pPr>
            <w:r>
              <w:rPr>
                <w:rFonts w:hint="eastAsia" w:ascii="宋体" w:hAnsi="宋体" w:cs="宋体"/>
                <w:szCs w:val="21"/>
              </w:rPr>
              <w:t>跟踪和反馈市场情况，对顾客的需求进行综合分析，按不同情况及时报告（反馈）相关部门和总经理，并确保在适当的时间内向顾客作出答复。</w:t>
            </w:r>
          </w:p>
          <w:p>
            <w:pPr>
              <w:widowControl/>
              <w:numPr>
                <w:ilvl w:val="0"/>
                <w:numId w:val="1"/>
              </w:numPr>
              <w:spacing w:after="0" w:line="400" w:lineRule="exact"/>
              <w:jc w:val="left"/>
              <w:textAlignment w:val="baseline"/>
              <w:rPr>
                <w:rFonts w:hint="eastAsia" w:ascii="宋体" w:hAnsi="宋体" w:cs="宋体"/>
                <w:szCs w:val="21"/>
              </w:rPr>
            </w:pPr>
            <w:r>
              <w:rPr>
                <w:rFonts w:hint="eastAsia" w:ascii="宋体" w:hAnsi="宋体" w:cs="宋体"/>
                <w:szCs w:val="21"/>
              </w:rPr>
              <w:t>配合生产生产技术部门做好顾客财产的管理；落实顾客交样和顾客确认的各项联系，详细地做好顾客留样和台帐管理。</w:t>
            </w:r>
          </w:p>
          <w:p>
            <w:pPr>
              <w:widowControl/>
              <w:numPr>
                <w:ilvl w:val="0"/>
                <w:numId w:val="1"/>
              </w:numPr>
              <w:spacing w:after="0" w:line="400" w:lineRule="exact"/>
              <w:jc w:val="left"/>
              <w:textAlignment w:val="baseline"/>
            </w:pPr>
            <w:r>
              <w:rPr>
                <w:rFonts w:hint="eastAsia" w:ascii="宋体" w:hAnsi="宋体" w:cs="宋体"/>
                <w:szCs w:val="21"/>
              </w:rPr>
              <w:t>根据销售市场的动态,综合分析国外市场和国内市场对产品的需求情况,为公司确定产品开发方向提供市场依据。</w:t>
            </w:r>
          </w:p>
          <w:p>
            <w:pPr>
              <w:spacing w:line="360" w:lineRule="auto"/>
              <w:ind w:firstLine="420" w:firstLineChars="200"/>
              <w:rPr>
                <w:rFonts w:ascii="宋体" w:hAnsi="宋体" w:cs="宋体"/>
                <w:szCs w:val="21"/>
              </w:rPr>
            </w:pPr>
          </w:p>
        </w:tc>
        <w:tc>
          <w:tcPr>
            <w:tcW w:w="646" w:type="dxa"/>
          </w:tcPr>
          <w:p>
            <w:pP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160" w:type="dxa"/>
          </w:tcPr>
          <w:p>
            <w:pPr>
              <w:spacing w:line="280" w:lineRule="exact"/>
              <w:rPr>
                <w:rFonts w:ascii="宋体" w:hAnsi="宋体" w:cs="宋体"/>
                <w:szCs w:val="21"/>
              </w:rPr>
            </w:pPr>
            <w:r>
              <w:rPr>
                <w:rFonts w:hint="eastAsia" w:asciiTheme="minorEastAsia" w:hAnsiTheme="minorEastAsia" w:eastAsiaTheme="minorEastAsia" w:cstheme="minorEastAsia"/>
                <w:szCs w:val="21"/>
              </w:rPr>
              <w:t>环境因素识别、危险源辨识及控制</w:t>
            </w:r>
          </w:p>
        </w:tc>
        <w:tc>
          <w:tcPr>
            <w:tcW w:w="960" w:type="dxa"/>
          </w:tcPr>
          <w:p>
            <w:pPr>
              <w:spacing w:line="280" w:lineRule="exact"/>
            </w:pPr>
            <w:r>
              <w:t>ES</w:t>
            </w:r>
            <w:r>
              <w:rPr>
                <w:rFonts w:hint="eastAsia"/>
              </w:rPr>
              <w:t>6.1.2</w:t>
            </w:r>
          </w:p>
          <w:p>
            <w:pPr>
              <w:spacing w:line="280" w:lineRule="exact"/>
            </w:pPr>
          </w:p>
          <w:p>
            <w:pPr>
              <w:pStyle w:val="2"/>
            </w:pPr>
          </w:p>
        </w:tc>
        <w:tc>
          <w:tcPr>
            <w:tcW w:w="10943" w:type="dxa"/>
            <w:vAlign w:val="center"/>
          </w:tcPr>
          <w:p>
            <w:pPr>
              <w:pStyle w:val="3"/>
              <w:spacing w:line="500" w:lineRule="exact"/>
              <w:ind w:firstLine="420"/>
              <w:jc w:val="lef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提供了公司制定《环境因素的识别评价控制程序》WX-QP-2020-19，《危险源辨识别与风险评价控制程序》WX-QP-2020-20文件，确保公司在所有管理活动或服务过程中能最大限度、充分地进行危险源辨识与风险性评价，确定不可接受风险并及时更新，实现对危险源与不可接受风险的有效控制。</w:t>
            </w:r>
          </w:p>
          <w:p>
            <w:pPr>
              <w:ind w:firstLine="525" w:firstLineChars="25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提供了《环境因素识别/评价表》对活动场所产生的危险源辨识并进行风险评价，以确定控制措施，经查阅已辨识：</w:t>
            </w:r>
          </w:p>
          <w:p>
            <w:pP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环境因素主要有：办公室火灾，硒鼓墨盒废旧电池的处理，纸张的废气、电的消耗等</w:t>
            </w:r>
          </w:p>
          <w:p>
            <w:pP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危险源主要有：开关损坏、短路等电气走火，办公区场所用火不慎、办公设施使用、检修、安装和调试等</w:t>
            </w:r>
          </w:p>
          <w:p>
            <w:pP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办公设施、违规用电、接触从疫情区回来的人员、未戴防护用品等危险因素。 评价人员：李娜。 时间：</w:t>
            </w:r>
            <w:r>
              <w:rPr>
                <w:rFonts w:asciiTheme="minorEastAsia" w:hAnsiTheme="minorEastAsia" w:eastAsiaTheme="minorEastAsia" w:cstheme="minorEastAsia"/>
                <w:szCs w:val="21"/>
              </w:rPr>
              <w:t>2020/1/15</w:t>
            </w:r>
          </w:p>
          <w:p>
            <w:pPr>
              <w:rPr>
                <w:rFonts w:asciiTheme="minorEastAsia" w:hAnsiTheme="minorEastAsia" w:eastAsiaTheme="minorEastAsia" w:cstheme="minorEastAsia"/>
                <w:szCs w:val="21"/>
              </w:rPr>
            </w:pPr>
          </w:p>
        </w:tc>
        <w:tc>
          <w:tcPr>
            <w:tcW w:w="646" w:type="dxa"/>
          </w:tcPr>
          <w:p>
            <w:pP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5" w:hRule="atLeast"/>
        </w:trPr>
        <w:tc>
          <w:tcPr>
            <w:tcW w:w="2160" w:type="dxa"/>
          </w:tcPr>
          <w:p>
            <w:pPr>
              <w:spacing w:line="280" w:lineRule="exact"/>
              <w:rPr>
                <w:rFonts w:ascii="宋体" w:hAnsi="宋体" w:cs="宋体"/>
                <w:kern w:val="0"/>
                <w:szCs w:val="21"/>
              </w:rPr>
            </w:pPr>
            <w:r>
              <w:rPr>
                <w:rFonts w:hint="eastAsia" w:ascii="宋体" w:hAnsi="宋体" w:cs="宋体"/>
                <w:kern w:val="0"/>
                <w:szCs w:val="21"/>
              </w:rPr>
              <w:t>目标及其实现的策划总要求</w:t>
            </w:r>
          </w:p>
          <w:p>
            <w:pPr>
              <w:spacing w:line="280" w:lineRule="exact"/>
              <w:rPr>
                <w:rFonts w:ascii="宋体" w:hAnsi="宋体" w:cs="宋体"/>
                <w:szCs w:val="21"/>
              </w:rPr>
            </w:pPr>
          </w:p>
        </w:tc>
        <w:tc>
          <w:tcPr>
            <w:tcW w:w="960" w:type="dxa"/>
          </w:tcPr>
          <w:p>
            <w:pPr>
              <w:spacing w:line="280" w:lineRule="exact"/>
              <w:rPr>
                <w:rFonts w:ascii="宋体" w:hAnsi="宋体" w:cs="宋体"/>
                <w:kern w:val="0"/>
                <w:szCs w:val="21"/>
              </w:rPr>
            </w:pPr>
            <w:r>
              <w:rPr>
                <w:rFonts w:hint="eastAsia" w:ascii="宋体" w:hAnsi="宋体" w:cs="宋体"/>
                <w:kern w:val="0"/>
                <w:szCs w:val="21"/>
              </w:rPr>
              <w:t>E</w:t>
            </w:r>
            <w:r>
              <w:rPr>
                <w:rFonts w:ascii="宋体" w:hAnsi="宋体" w:cs="宋体"/>
                <w:kern w:val="0"/>
                <w:szCs w:val="21"/>
              </w:rPr>
              <w:t>/S</w:t>
            </w:r>
            <w:r>
              <w:rPr>
                <w:rFonts w:hint="eastAsia" w:ascii="宋体" w:hAnsi="宋体" w:cs="宋体"/>
                <w:kern w:val="0"/>
                <w:szCs w:val="21"/>
              </w:rPr>
              <w:t>6.2</w:t>
            </w:r>
          </w:p>
          <w:p>
            <w:pPr>
              <w:spacing w:line="280" w:lineRule="exact"/>
              <w:rPr>
                <w:rFonts w:ascii="宋体" w:hAnsi="宋体" w:cs="宋体"/>
                <w:kern w:val="0"/>
                <w:szCs w:val="21"/>
              </w:rPr>
            </w:pPr>
          </w:p>
          <w:p>
            <w:pPr>
              <w:spacing w:line="280" w:lineRule="exact"/>
              <w:rPr>
                <w:rFonts w:ascii="宋体" w:hAnsi="宋体" w:cs="宋体"/>
                <w:szCs w:val="21"/>
              </w:rPr>
            </w:pPr>
          </w:p>
        </w:tc>
        <w:tc>
          <w:tcPr>
            <w:tcW w:w="10943" w:type="dxa"/>
            <w:vAlign w:val="center"/>
          </w:tcPr>
          <w:p>
            <w:pPr>
              <w:spacing w:line="280" w:lineRule="exact"/>
              <w:ind w:firstLine="420" w:firstLineChars="200"/>
              <w:rPr>
                <w:rFonts w:hint="eastAsia"/>
                <w:szCs w:val="21"/>
              </w:rPr>
            </w:pPr>
            <w:r>
              <w:rPr>
                <w:rFonts w:hint="eastAsia"/>
                <w:szCs w:val="21"/>
              </w:rPr>
              <w:t>本部门分解管理目标有：</w:t>
            </w:r>
          </w:p>
          <w:p>
            <w:pPr>
              <w:pStyle w:val="2"/>
              <w:rPr>
                <w:rFonts w:hint="eastAsia"/>
              </w:rPr>
            </w:pPr>
            <w:r>
              <w:rPr>
                <w:rFonts w:hint="eastAsia"/>
              </w:rPr>
              <w:t>物资准时交货率</w:t>
            </w:r>
            <w:r>
              <w:rPr>
                <w:rFonts w:hint="eastAsia"/>
              </w:rPr>
              <w:tab/>
            </w:r>
            <w:r>
              <w:rPr>
                <w:rFonts w:hint="eastAsia"/>
              </w:rPr>
              <w:t>≥95%</w:t>
            </w:r>
          </w:p>
          <w:p>
            <w:pPr>
              <w:pStyle w:val="2"/>
              <w:rPr>
                <w:rFonts w:hint="eastAsia"/>
              </w:rPr>
            </w:pPr>
            <w:r>
              <w:rPr>
                <w:rFonts w:hint="eastAsia"/>
              </w:rPr>
              <w:t>对供方定期评审率</w:t>
            </w:r>
            <w:r>
              <w:rPr>
                <w:rFonts w:hint="eastAsia"/>
              </w:rPr>
              <w:tab/>
            </w:r>
            <w:r>
              <w:rPr>
                <w:rFonts w:hint="eastAsia"/>
              </w:rPr>
              <w:t>100%</w:t>
            </w:r>
          </w:p>
          <w:p>
            <w:pPr>
              <w:pStyle w:val="2"/>
              <w:rPr>
                <w:rFonts w:hint="eastAsia"/>
              </w:rPr>
            </w:pPr>
            <w:r>
              <w:rPr>
                <w:rFonts w:hint="eastAsia"/>
              </w:rPr>
              <w:t>进货物资检验合格率</w:t>
            </w:r>
            <w:r>
              <w:rPr>
                <w:rFonts w:hint="eastAsia"/>
              </w:rPr>
              <w:tab/>
            </w:r>
            <w:r>
              <w:rPr>
                <w:rFonts w:hint="eastAsia"/>
              </w:rPr>
              <w:t>≥98%</w:t>
            </w:r>
          </w:p>
          <w:p>
            <w:pPr>
              <w:pStyle w:val="2"/>
              <w:rPr>
                <w:rFonts w:hint="eastAsia"/>
              </w:rPr>
            </w:pPr>
            <w:r>
              <w:rPr>
                <w:rFonts w:hint="eastAsia"/>
              </w:rPr>
              <w:t>顾客投诉；</w:t>
            </w:r>
            <w:r>
              <w:rPr>
                <w:rFonts w:hint="eastAsia"/>
              </w:rPr>
              <w:tab/>
            </w:r>
            <w:r>
              <w:rPr>
                <w:rFonts w:hint="eastAsia"/>
              </w:rPr>
              <w:t>≤5次/年</w:t>
            </w:r>
          </w:p>
          <w:p>
            <w:pPr>
              <w:pStyle w:val="2"/>
              <w:rPr>
                <w:rFonts w:hint="eastAsia"/>
              </w:rPr>
            </w:pPr>
            <w:r>
              <w:rPr>
                <w:rFonts w:hint="eastAsia"/>
              </w:rPr>
              <w:t>顾客综合满意度</w:t>
            </w:r>
            <w:r>
              <w:rPr>
                <w:rFonts w:hint="eastAsia"/>
              </w:rPr>
              <w:tab/>
            </w:r>
            <w:r>
              <w:rPr>
                <w:rFonts w:hint="eastAsia"/>
              </w:rPr>
              <w:t>≥92分</w:t>
            </w:r>
          </w:p>
          <w:p>
            <w:pPr>
              <w:pStyle w:val="2"/>
              <w:rPr>
                <w:rFonts w:hint="eastAsia"/>
              </w:rPr>
            </w:pPr>
            <w:r>
              <w:rPr>
                <w:rFonts w:hint="eastAsia"/>
              </w:rPr>
              <w:t>合同评审有效率。</w:t>
            </w:r>
            <w:r>
              <w:rPr>
                <w:rFonts w:hint="eastAsia"/>
              </w:rPr>
              <w:tab/>
            </w:r>
            <w:r>
              <w:rPr>
                <w:rFonts w:hint="eastAsia"/>
              </w:rPr>
              <w:t>100%</w:t>
            </w:r>
          </w:p>
          <w:p>
            <w:pPr>
              <w:pStyle w:val="2"/>
              <w:rPr>
                <w:rFonts w:hint="eastAsia"/>
              </w:rPr>
            </w:pPr>
            <w:r>
              <w:rPr>
                <w:rFonts w:hint="eastAsia"/>
              </w:rPr>
              <w:t>环境安全相关方的施加影响率</w:t>
            </w:r>
            <w:r>
              <w:rPr>
                <w:rFonts w:hint="eastAsia"/>
              </w:rPr>
              <w:tab/>
            </w:r>
            <w:r>
              <w:rPr>
                <w:rFonts w:hint="eastAsia"/>
              </w:rPr>
              <w:t>100%</w:t>
            </w:r>
          </w:p>
          <w:p>
            <w:pPr>
              <w:pStyle w:val="2"/>
            </w:pPr>
            <w:r>
              <w:rPr>
                <w:rFonts w:hint="eastAsia"/>
              </w:rPr>
              <w:t>火灾发生率</w:t>
            </w:r>
            <w:r>
              <w:rPr>
                <w:rFonts w:hint="eastAsia"/>
              </w:rPr>
              <w:tab/>
            </w:r>
            <w:r>
              <w:rPr>
                <w:rFonts w:hint="eastAsia"/>
              </w:rPr>
              <w:t>0</w:t>
            </w:r>
          </w:p>
          <w:p>
            <w:pPr>
              <w:spacing w:line="280" w:lineRule="exact"/>
              <w:ind w:firstLine="420" w:firstLineChars="200"/>
              <w:rPr>
                <w:szCs w:val="21"/>
              </w:rPr>
            </w:pPr>
            <w:r>
              <w:rPr>
                <w:rFonts w:hint="eastAsia"/>
                <w:szCs w:val="21"/>
              </w:rPr>
              <w:t>目标均可量化可测量，提供目标统计表。最近一次</w:t>
            </w:r>
            <w:r>
              <w:rPr>
                <w:szCs w:val="21"/>
              </w:rPr>
              <w:t>2020/6</w:t>
            </w:r>
            <w:r>
              <w:rPr>
                <w:rFonts w:hint="eastAsia"/>
                <w:szCs w:val="21"/>
              </w:rPr>
              <w:t>月考核，市场部管理目标均已完成。考核人：何昌宾。针对以上目标，公司针对火灾、废弃物、意外伤害制定了相应管理方案，内容涉及：方法措施、执行部门、负责人、预算、完成日期等。编制：市场部   审核：何昌宾    批准：王禄柳</w:t>
            </w:r>
          </w:p>
          <w:p>
            <w:pPr>
              <w:spacing w:line="280" w:lineRule="exact"/>
              <w:ind w:firstLine="420" w:firstLineChars="200"/>
              <w:rPr>
                <w:szCs w:val="21"/>
              </w:rPr>
            </w:pPr>
            <w:r>
              <w:rPr>
                <w:rFonts w:hint="eastAsia"/>
                <w:szCs w:val="21"/>
              </w:rPr>
              <w:t>抽查：火灾发生率为0。方法措施：定期检查电器设备，发现问题及时反馈，成立应急预案小组，对发生火灾及时处理，详见“火灾应急预案”；防止意外伤害，加强培训不断提高安全意识。执行部门：各部门、负责人：何昌宾， 完成日期：持续执行</w:t>
            </w:r>
          </w:p>
          <w:p>
            <w:pPr>
              <w:spacing w:line="280" w:lineRule="exact"/>
              <w:rPr>
                <w:rFonts w:ascii="宋体" w:hAnsi="宋体"/>
                <w:szCs w:val="21"/>
              </w:rPr>
            </w:pPr>
            <w:r>
              <w:rPr>
                <w:rFonts w:hint="eastAsia"/>
                <w:szCs w:val="21"/>
              </w:rPr>
              <w:t>职业健康安全方案已正常实施开展并经过监督检查，几年来没有发生火灾及轻伤以上的事故。</w:t>
            </w:r>
          </w:p>
        </w:tc>
        <w:tc>
          <w:tcPr>
            <w:tcW w:w="646" w:type="dxa"/>
          </w:tcPr>
          <w:p>
            <w:pP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8" w:hRule="atLeast"/>
        </w:trPr>
        <w:tc>
          <w:tcPr>
            <w:tcW w:w="2160" w:type="dxa"/>
          </w:tcPr>
          <w:p>
            <w:pPr>
              <w:spacing w:line="280" w:lineRule="exact"/>
              <w:rPr>
                <w:szCs w:val="21"/>
              </w:rPr>
            </w:pPr>
            <w:r>
              <w:rPr>
                <w:rFonts w:hint="eastAsia"/>
                <w:szCs w:val="21"/>
              </w:rPr>
              <w:t>运行策划和控制</w:t>
            </w:r>
          </w:p>
          <w:p>
            <w:pPr>
              <w:spacing w:line="280" w:lineRule="exact"/>
              <w:rPr>
                <w:rFonts w:ascii="宋体" w:hAnsi="宋体" w:cs="宋体"/>
                <w:szCs w:val="21"/>
              </w:rPr>
            </w:pPr>
          </w:p>
        </w:tc>
        <w:tc>
          <w:tcPr>
            <w:tcW w:w="960" w:type="dxa"/>
          </w:tcPr>
          <w:p>
            <w:pPr>
              <w:spacing w:line="280" w:lineRule="exact"/>
              <w:rPr>
                <w:szCs w:val="21"/>
              </w:rPr>
            </w:pPr>
            <w:r>
              <w:rPr>
                <w:rFonts w:hint="eastAsia"/>
                <w:szCs w:val="21"/>
              </w:rPr>
              <w:t>E</w:t>
            </w:r>
            <w:r>
              <w:rPr>
                <w:szCs w:val="21"/>
              </w:rPr>
              <w:t>S</w:t>
            </w:r>
            <w:r>
              <w:rPr>
                <w:rFonts w:hint="eastAsia"/>
                <w:szCs w:val="21"/>
              </w:rPr>
              <w:t>8.1</w:t>
            </w:r>
          </w:p>
          <w:p>
            <w:pPr>
              <w:spacing w:line="280" w:lineRule="exact"/>
              <w:rPr>
                <w:szCs w:val="21"/>
              </w:rPr>
            </w:pPr>
          </w:p>
          <w:p>
            <w:pPr>
              <w:spacing w:line="280" w:lineRule="exact"/>
              <w:rPr>
                <w:rFonts w:ascii="宋体" w:hAnsi="宋体" w:cs="宋体"/>
                <w:szCs w:val="21"/>
              </w:rPr>
            </w:pPr>
          </w:p>
        </w:tc>
        <w:tc>
          <w:tcPr>
            <w:tcW w:w="10943" w:type="dxa"/>
            <w:vAlign w:val="center"/>
          </w:tcPr>
          <w:p>
            <w:pPr>
              <w:ind w:firstLine="420" w:firstLineChars="200"/>
              <w:rPr>
                <w:rFonts w:hint="eastAsia" w:ascii="宋体" w:hAnsi="宋体" w:cs="宋体"/>
                <w:szCs w:val="21"/>
                <w:lang w:val="en-GB"/>
              </w:rPr>
            </w:pPr>
            <w:r>
              <w:rPr>
                <w:rFonts w:hint="eastAsia" w:ascii="宋体" w:hAnsi="宋体" w:cs="宋体"/>
                <w:szCs w:val="21"/>
                <w:lang w:val="en-GB"/>
              </w:rPr>
              <w:t>提供本部门环境因素及危险源识别评价表，有对应的控制措施。</w:t>
            </w:r>
          </w:p>
          <w:p>
            <w:pPr>
              <w:ind w:firstLine="420" w:firstLineChars="200"/>
              <w:rPr>
                <w:rFonts w:ascii="宋体" w:hAnsi="宋体" w:cs="宋体"/>
                <w:color w:val="000000" w:themeColor="text1"/>
                <w:szCs w:val="21"/>
                <w:lang w:val="en-GB"/>
              </w:rPr>
            </w:pPr>
            <w:r>
              <w:rPr>
                <w:rFonts w:hint="eastAsia" w:ascii="宋体" w:hAnsi="宋体" w:cs="宋体"/>
                <w:szCs w:val="21"/>
                <w:lang w:val="en-GB"/>
              </w:rPr>
              <w:t>运行控制情况：办公过程注意节约用电，做到人走灯灭，电脑长时间不用时关机，下班前要关闭电源；办公区</w:t>
            </w:r>
            <w:r>
              <w:rPr>
                <w:rFonts w:hint="eastAsia" w:ascii="宋体" w:hAnsi="宋体" w:cs="宋体"/>
                <w:color w:val="000000" w:themeColor="text1"/>
                <w:szCs w:val="21"/>
                <w:lang w:val="en-GB"/>
              </w:rPr>
              <w:t>域内配置的灭火器,在有效期内。公司不容许销售人员自驾办公。</w:t>
            </w:r>
          </w:p>
          <w:p>
            <w:pPr>
              <w:ind w:firstLine="420" w:firstLineChars="200"/>
              <w:rPr>
                <w:rFonts w:ascii="宋体" w:hAnsi="宋体" w:cs="宋体"/>
                <w:color w:val="000000" w:themeColor="text1"/>
                <w:szCs w:val="21"/>
                <w:lang w:val="en-GB"/>
              </w:rPr>
            </w:pPr>
            <w:r>
              <w:rPr>
                <w:rFonts w:hint="eastAsia" w:ascii="宋体" w:hAnsi="宋体" w:cs="宋体"/>
                <w:color w:val="000000" w:themeColor="text1"/>
                <w:szCs w:val="21"/>
              </w:rPr>
              <w:t>办公过程使用的电器如：空调、电脑、灯具均符合安全设计要求，使用过程注意安全，预防触电，工作时间平均每天8小时；</w:t>
            </w:r>
          </w:p>
          <w:p>
            <w:pPr>
              <w:ind w:firstLine="420" w:firstLineChars="200"/>
              <w:rPr>
                <w:rFonts w:ascii="宋体" w:hAnsi="宋体" w:cs="宋体"/>
                <w:szCs w:val="21"/>
                <w:lang w:val="en-GB"/>
              </w:rPr>
            </w:pPr>
            <w:r>
              <w:rPr>
                <w:rFonts w:hint="eastAsia" w:ascii="宋体" w:hAnsi="宋体" w:cs="宋体"/>
                <w:szCs w:val="21"/>
                <w:lang w:val="en-GB"/>
              </w:rPr>
              <w:t>办公用品按要求由</w:t>
            </w:r>
            <w:r>
              <w:rPr>
                <w:rFonts w:hint="eastAsia" w:ascii="宋体" w:hAnsi="宋体" w:cs="宋体"/>
                <w:szCs w:val="21"/>
              </w:rPr>
              <w:t>办公室</w:t>
            </w:r>
            <w:r>
              <w:rPr>
                <w:rFonts w:hint="eastAsia" w:ascii="宋体" w:hAnsi="宋体" w:cs="宋体"/>
                <w:szCs w:val="21"/>
                <w:lang w:val="en-GB"/>
              </w:rPr>
              <w:t>负责发放，作好记录；</w:t>
            </w:r>
          </w:p>
          <w:p>
            <w:pPr>
              <w:ind w:firstLine="420" w:firstLineChars="200"/>
              <w:rPr>
                <w:rFonts w:ascii="宋体" w:hAnsi="宋体" w:cs="宋体"/>
                <w:szCs w:val="21"/>
                <w:lang w:val="en-GB"/>
              </w:rPr>
            </w:pPr>
            <w:r>
              <w:rPr>
                <w:rFonts w:hint="eastAsia" w:ascii="宋体" w:hAnsi="宋体" w:cs="宋体"/>
                <w:szCs w:val="21"/>
                <w:lang w:val="en-GB"/>
              </w:rPr>
              <w:t>相关方施加影响：公司能够控制或能够施加影响的相关方有周边商户、固体废弃物处理等。提供了“致相关方的公开信”，将公司关于办公用品采购、固体废弃物处理等方面环境控制要求发放到了周边商户，督促影响各相关方按照环境管理体系要求对环境施加影响。</w:t>
            </w:r>
          </w:p>
          <w:p>
            <w:pPr>
              <w:pStyle w:val="2"/>
              <w:rPr>
                <w:lang w:val="en-GB"/>
              </w:rPr>
            </w:pPr>
            <w:r>
              <w:rPr>
                <w:rFonts w:hint="eastAsia"/>
              </w:rPr>
              <w:t>环境及职业健康的危险源控制过程贯穿整改过程的生命周期</w:t>
            </w:r>
          </w:p>
          <w:p>
            <w:pPr>
              <w:ind w:firstLine="420" w:firstLineChars="200"/>
              <w:rPr>
                <w:rFonts w:ascii="宋体" w:hAnsi="宋体" w:cs="宋体"/>
                <w:szCs w:val="21"/>
                <w:lang w:val="en-GB"/>
              </w:rPr>
            </w:pPr>
            <w:r>
              <w:rPr>
                <w:rFonts w:hint="eastAsia" w:ascii="宋体" w:hAnsi="宋体" w:cs="宋体"/>
                <w:szCs w:val="21"/>
                <w:lang w:val="en-GB"/>
              </w:rPr>
              <w:t>公司办公产生的废硒鼓、废墨盒、色带由供应方公司回收；</w:t>
            </w:r>
          </w:p>
          <w:p>
            <w:pPr>
              <w:ind w:firstLine="420" w:firstLineChars="200"/>
              <w:rPr>
                <w:rFonts w:ascii="宋体" w:hAnsi="宋体" w:cs="宋体"/>
                <w:szCs w:val="21"/>
              </w:rPr>
            </w:pPr>
            <w:r>
              <w:rPr>
                <w:rFonts w:hint="eastAsia" w:ascii="宋体" w:hAnsi="宋体" w:cs="宋体"/>
                <w:szCs w:val="21"/>
              </w:rPr>
              <w:t>驾驶员要求遵守道路交通安全法，不违章驾车，驾驶证和车辆定期年审，确保行车安全。</w:t>
            </w:r>
          </w:p>
          <w:p>
            <w:pPr>
              <w:pStyle w:val="2"/>
              <w:ind w:firstLine="460" w:firstLineChars="200"/>
              <w:rPr>
                <w:rFonts w:ascii="宋体" w:hAnsi="宋体"/>
                <w:szCs w:val="21"/>
              </w:rPr>
            </w:pPr>
            <w:r>
              <w:rPr>
                <w:rFonts w:hint="eastAsia"/>
                <w:color w:val="000000" w:themeColor="text1"/>
                <w:szCs w:val="21"/>
              </w:rPr>
              <w:t>职业健康安全运行正常</w:t>
            </w:r>
          </w:p>
        </w:tc>
        <w:tc>
          <w:tcPr>
            <w:tcW w:w="646" w:type="dxa"/>
          </w:tcPr>
          <w:p>
            <w:pP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8" w:hRule="atLeast"/>
        </w:trPr>
        <w:tc>
          <w:tcPr>
            <w:tcW w:w="2160" w:type="dxa"/>
          </w:tcPr>
          <w:p>
            <w:pPr>
              <w:spacing w:line="280" w:lineRule="exact"/>
              <w:rPr>
                <w:szCs w:val="21"/>
              </w:rPr>
            </w:pPr>
            <w:r>
              <w:rPr>
                <w:rFonts w:hint="eastAsia"/>
                <w:szCs w:val="21"/>
              </w:rPr>
              <w:t>应急准备和响应</w:t>
            </w:r>
          </w:p>
          <w:p>
            <w:pPr>
              <w:spacing w:line="280" w:lineRule="exact"/>
              <w:rPr>
                <w:rFonts w:ascii="宋体" w:hAnsi="宋体" w:cs="宋体"/>
                <w:szCs w:val="21"/>
              </w:rPr>
            </w:pPr>
          </w:p>
        </w:tc>
        <w:tc>
          <w:tcPr>
            <w:tcW w:w="960" w:type="dxa"/>
          </w:tcPr>
          <w:p>
            <w:pPr>
              <w:spacing w:line="280" w:lineRule="exact"/>
              <w:rPr>
                <w:szCs w:val="21"/>
              </w:rPr>
            </w:pPr>
            <w:r>
              <w:rPr>
                <w:rFonts w:hint="eastAsia"/>
                <w:szCs w:val="21"/>
              </w:rPr>
              <w:t>E</w:t>
            </w:r>
            <w:r>
              <w:rPr>
                <w:szCs w:val="21"/>
              </w:rPr>
              <w:t>S</w:t>
            </w:r>
            <w:r>
              <w:rPr>
                <w:rFonts w:hint="eastAsia"/>
                <w:szCs w:val="21"/>
              </w:rPr>
              <w:t>8.2</w:t>
            </w:r>
          </w:p>
          <w:p>
            <w:pPr>
              <w:spacing w:line="280" w:lineRule="exact"/>
              <w:rPr>
                <w:rFonts w:ascii="宋体" w:hAnsi="宋体" w:cs="宋体"/>
                <w:szCs w:val="21"/>
              </w:rPr>
            </w:pPr>
          </w:p>
        </w:tc>
        <w:tc>
          <w:tcPr>
            <w:tcW w:w="10943" w:type="dxa"/>
            <w:vAlign w:val="center"/>
          </w:tcPr>
          <w:p>
            <w:pPr>
              <w:rPr>
                <w:rFonts w:cs="Lucida Sans"/>
              </w:rPr>
            </w:pPr>
            <w:r>
              <w:rPr>
                <w:rFonts w:hint="eastAsia" w:cs="Lucida Sans"/>
              </w:rPr>
              <w:t>公司编制了应急准备和响应控制程序</w:t>
            </w:r>
            <w:r>
              <w:rPr>
                <w:rFonts w:hint="eastAsia" w:cs="Lucida Sans"/>
              </w:rPr>
              <w:tab/>
            </w:r>
            <w:r>
              <w:rPr>
                <w:rFonts w:hint="eastAsia" w:cs="Lucida Sans"/>
              </w:rPr>
              <w:t>WX-QP-2020-22，查看内容基本符合要求。策划了应急预案包括火灾、触电、等应急预案。查应急预案评估报告，通过以上评估，公司应急预案的制定基本合理。</w:t>
            </w:r>
          </w:p>
          <w:p>
            <w:pPr>
              <w:rPr>
                <w:rFonts w:cs="Lucida Sans"/>
              </w:rPr>
            </w:pPr>
            <w:r>
              <w:rPr>
                <w:rFonts w:hint="eastAsia" w:cs="Lucida Sans"/>
              </w:rPr>
              <w:t xml:space="preserve">参加了公司组织的消防演练，均接受过培训，知晓灭火器使用和各种火情的灭火方法。 </w:t>
            </w:r>
          </w:p>
          <w:p>
            <w:pPr>
              <w:rPr>
                <w:rFonts w:cs="Lucida Sans"/>
              </w:rPr>
            </w:pPr>
            <w:r>
              <w:rPr>
                <w:rFonts w:hint="eastAsia" w:cs="Lucida Sans"/>
              </w:rPr>
              <w:t>提供了《火灾应急预案》，包括发生火灾等紧急情况的处置和应急抢救方案等内容。</w:t>
            </w:r>
          </w:p>
          <w:p>
            <w:pPr>
              <w:rPr>
                <w:rFonts w:cs="Lucida Sans"/>
              </w:rPr>
            </w:pPr>
            <w:r>
              <w:rPr>
                <w:rFonts w:hint="eastAsia" w:cs="Lucida Sans"/>
              </w:rPr>
              <w:t>出示了“应急预案演练记录”</w:t>
            </w:r>
          </w:p>
          <w:p>
            <w:pPr>
              <w:rPr>
                <w:rFonts w:cs="Lucida Sans"/>
              </w:rPr>
            </w:pPr>
            <w:r>
              <w:rPr>
                <w:rFonts w:hint="eastAsia" w:cs="Lucida Sans"/>
              </w:rPr>
              <w:t>组织部门：综合部  演练主持人：</w:t>
            </w:r>
            <w:r>
              <w:rPr>
                <w:rFonts w:hint="eastAsia" w:cs="Lucida Sans"/>
                <w:color w:val="000000" w:themeColor="text1"/>
              </w:rPr>
              <w:t>李学鸿</w:t>
            </w:r>
          </w:p>
          <w:p>
            <w:pPr>
              <w:rPr>
                <w:rFonts w:cs="Lucida Sans"/>
              </w:rPr>
            </w:pPr>
            <w:r>
              <w:rPr>
                <w:rFonts w:hint="eastAsia" w:cs="Lucida Sans"/>
              </w:rPr>
              <w:t>参加演练人员名单</w:t>
            </w:r>
            <w:r>
              <w:rPr>
                <w:rFonts w:hint="eastAsia" w:cs="Lucida Sans"/>
                <w:color w:val="000000" w:themeColor="text1"/>
              </w:rPr>
              <w:t xml:space="preserve">：公司各个部门负责人、车间及仓库共15个人 </w:t>
            </w:r>
            <w:r>
              <w:rPr>
                <w:rFonts w:hint="eastAsia" w:cs="Lucida Sans"/>
              </w:rPr>
              <w:t xml:space="preserve">   </w:t>
            </w:r>
          </w:p>
          <w:p>
            <w:pPr>
              <w:rPr>
                <w:rFonts w:cs="Lucida Sans"/>
              </w:rPr>
            </w:pPr>
            <w:r>
              <w:rPr>
                <w:rFonts w:hint="eastAsia" w:cs="Lucida Sans"/>
              </w:rPr>
              <w:t>1.演练目的、内容：</w:t>
            </w:r>
          </w:p>
          <w:p>
            <w:pPr>
              <w:rPr>
                <w:rFonts w:cs="Lucida Sans"/>
              </w:rPr>
            </w:pPr>
            <w:r>
              <w:rPr>
                <w:rFonts w:hint="eastAsia" w:cs="Lucida Sans"/>
              </w:rPr>
              <w:t>为了使员工了解火灾发生时的应急自救知识，掌握应对火灾发生时采取的防护措施和方法，最大限度地降低火灾爆炸带来的损失，从而提高员工紧急避险、自救自护和应变的能力。</w:t>
            </w:r>
          </w:p>
          <w:p>
            <w:pPr>
              <w:rPr>
                <w:rFonts w:cs="Lucida Sans"/>
              </w:rPr>
            </w:pPr>
            <w:r>
              <w:rPr>
                <w:rFonts w:hint="eastAsia" w:cs="Lucida Sans"/>
              </w:rPr>
              <w:t>2.演练小结：参加人员基本了解，掌握了灭火器的使用方法和现场撤离路线，掌握火灾时的逃生方法。</w:t>
            </w:r>
          </w:p>
          <w:p>
            <w:pPr>
              <w:rPr>
                <w:rFonts w:cs="Lucida Sans"/>
              </w:rPr>
            </w:pPr>
            <w:r>
              <w:rPr>
                <w:rFonts w:hint="eastAsia" w:cs="Lucida Sans"/>
              </w:rPr>
              <w:t>3.存在的问题及整改措施：义务消防员应经常检查火灾隐患，发现问题及时整改，今后应定期进行火灾应急演练。争取得到周边单位的配合和参与。以提高公司员工的消防安全意识。</w:t>
            </w:r>
          </w:p>
          <w:p>
            <w:pPr>
              <w:spacing w:line="360" w:lineRule="auto"/>
              <w:ind w:firstLine="420" w:firstLineChars="200"/>
              <w:rPr>
                <w:rFonts w:hint="eastAsia" w:cs="Lucida Sans"/>
                <w:color w:val="FF0000"/>
              </w:rPr>
            </w:pPr>
            <w:r>
              <w:rPr>
                <w:rFonts w:hint="eastAsia" w:cs="Lucida Sans"/>
              </w:rPr>
              <w:t>填写部门：综合部  填写日期：</w:t>
            </w:r>
            <w:r>
              <w:rPr>
                <w:rFonts w:cs="Lucida Sans"/>
                <w:color w:val="000000" w:themeColor="text1"/>
              </w:rPr>
              <w:t>2020/4/20</w:t>
            </w:r>
          </w:p>
          <w:p>
            <w:pPr>
              <w:spacing w:line="360" w:lineRule="auto"/>
              <w:ind w:firstLine="420" w:firstLineChars="200"/>
              <w:rPr>
                <w:rFonts w:ascii="宋体" w:hAnsi="宋体"/>
                <w:szCs w:val="21"/>
              </w:rPr>
            </w:pPr>
            <w:r>
              <w:rPr>
                <w:rFonts w:hint="eastAsia" w:cs="Lucida Sans"/>
              </w:rPr>
              <w:t>提供了“应急预案评审记录”，演练后对预案适宜性充分性进行了评审，结论：预案适用无需修订</w:t>
            </w:r>
          </w:p>
        </w:tc>
        <w:tc>
          <w:tcPr>
            <w:tcW w:w="646" w:type="dxa"/>
          </w:tcPr>
          <w:p>
            <w:pPr>
              <w:rPr>
                <w:rFonts w:ascii="宋体" w:hAnsi="宋体" w:cs="宋体"/>
                <w:szCs w:val="21"/>
              </w:rPr>
            </w:pPr>
          </w:p>
        </w:tc>
      </w:tr>
    </w:tbl>
    <w:p>
      <w:pPr>
        <w:pStyle w:val="5"/>
        <w:spacing w:line="360" w:lineRule="auto"/>
      </w:pPr>
      <w:r>
        <w:rPr>
          <w:rFonts w:hint="eastAsia"/>
        </w:rPr>
        <w:t>说明：不符合标注N</w:t>
      </w:r>
    </w:p>
    <w:sectPr>
      <w:headerReference r:id="rId5" w:type="default"/>
      <w:footerReference r:id="rId6" w:type="default"/>
      <w:pgSz w:w="16838" w:h="11906" w:orient="landscape"/>
      <w:pgMar w:top="1440" w:right="1080" w:bottom="1440" w:left="108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隶书">
    <w:altName w:val="微软雅黑"/>
    <w:panose1 w:val="02010509060101010101"/>
    <w:charset w:val="86"/>
    <w:family w:val="modern"/>
    <w:pitch w:val="default"/>
    <w:sig w:usb0="00000000" w:usb1="00000000" w:usb2="00000010" w:usb3="00000000" w:csb0="00040000" w:csb1="00000000"/>
  </w:font>
  <w:font w:name="Lucida Sans">
    <w:altName w:val="Lucida Sans Unicode"/>
    <w:panose1 w:val="020B0602030504020204"/>
    <w:charset w:val="00"/>
    <w:family w:val="swiss"/>
    <w:pitch w:val="default"/>
    <w:sig w:usb0="00000000" w:usb1="00000000" w:usb2="00000000" w:usb3="00000000" w:csb0="00000001" w:csb1="00000000"/>
  </w:font>
  <w:font w:name="微软雅黑">
    <w:panose1 w:val="020B0503020204020204"/>
    <w:charset w:val="86"/>
    <w:family w:val="auto"/>
    <w:pitch w:val="default"/>
    <w:sig w:usb0="80000287" w:usb1="2ACF3C50" w:usb2="00000016" w:usb3="00000000" w:csb0="0004001F" w:csb1="00000000"/>
  </w:font>
  <w:font w:name="Lucida Sans Unicode">
    <w:panose1 w:val="020B0602030504020204"/>
    <w:charset w:val="00"/>
    <w:family w:val="auto"/>
    <w:pitch w:val="default"/>
    <w:sig w:usb0="80001AFF" w:usb1="0000396B" w:usb2="00000000" w:usb3="00000000" w:csb0="200000BF" w:csb1="D7F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724900"/>
    </w:sdtPr>
    <w:sdtContent>
      <w:sdt>
        <w:sdtPr>
          <w:id w:val="171357217"/>
        </w:sdtPr>
        <w:sdtContent>
          <w:p>
            <w:pPr>
              <w:pStyle w:val="5"/>
              <w:jc w:val="center"/>
            </w:pPr>
            <w:r>
              <w:rPr>
                <w:lang w:val="zh-CN"/>
              </w:rPr>
              <w:t xml:space="preserve"> </w:t>
            </w:r>
            <w:r>
              <w:rPr>
                <w:b/>
                <w:sz w:val="24"/>
                <w:szCs w:val="24"/>
              </w:rPr>
              <w:fldChar w:fldCharType="begin"/>
            </w:r>
            <w:r>
              <w:rPr>
                <w:b/>
              </w:rPr>
              <w:instrText xml:space="preserve">PAGE</w:instrText>
            </w:r>
            <w:r>
              <w:rPr>
                <w:b/>
                <w:sz w:val="24"/>
                <w:szCs w:val="24"/>
              </w:rPr>
              <w:fldChar w:fldCharType="separate"/>
            </w:r>
            <w:r>
              <w:rPr>
                <w:b/>
              </w:rPr>
              <w:t>1</w:t>
            </w:r>
            <w:r>
              <w:rPr>
                <w:b/>
                <w:sz w:val="24"/>
                <w:szCs w:val="24"/>
              </w:rPr>
              <w:fldChar w:fldCharType="end"/>
            </w:r>
            <w:r>
              <w:rPr>
                <w:lang w:val="zh-CN"/>
              </w:rPr>
              <w:t xml:space="preserve"> / </w:t>
            </w:r>
            <w:r>
              <w:rPr>
                <w:b/>
                <w:sz w:val="24"/>
                <w:szCs w:val="24"/>
              </w:rPr>
              <w:fldChar w:fldCharType="begin"/>
            </w:r>
            <w:r>
              <w:rPr>
                <w:b/>
              </w:rPr>
              <w:instrText xml:space="preserve">NUMPAGES</w:instrText>
            </w:r>
            <w:r>
              <w:rPr>
                <w:b/>
                <w:sz w:val="24"/>
                <w:szCs w:val="24"/>
              </w:rPr>
              <w:fldChar w:fldCharType="separate"/>
            </w:r>
            <w:r>
              <w:rPr>
                <w:b/>
              </w:rPr>
              <w:t>1</w:t>
            </w:r>
            <w:r>
              <w:rPr>
                <w:b/>
                <w:sz w:val="24"/>
                <w:szCs w:val="24"/>
              </w:rPr>
              <w:fldChar w:fldCharType="end"/>
            </w:r>
          </w:p>
        </w:sdtContent>
      </w:sdt>
    </w:sdtContent>
  </w:sdt>
  <w:p>
    <w:pPr>
      <w:pStyle w:val="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tabs>
        <w:tab w:val="left" w:pos="8910"/>
        <w:tab w:val="left" w:pos="9142"/>
        <w:tab w:val="clear" w:pos="4153"/>
      </w:tabs>
      <w:spacing w:line="320" w:lineRule="exact"/>
      <w:ind w:left="-86" w:leftChars="-41" w:firstLine="810" w:firstLineChars="450"/>
      <w:jc w:val="left"/>
      <w:rPr>
        <w:rStyle w:val="12"/>
        <w:rFonts w:hint="default"/>
      </w:rPr>
    </w:pPr>
    <w:r>
      <w:drawing>
        <wp:anchor distT="0" distB="0" distL="114300" distR="114300" simplePos="0" relativeHeight="251659264"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12"/>
        <w:rFonts w:hint="default"/>
      </w:rPr>
      <w:t>北京国标联合认证有限公司</w:t>
    </w:r>
    <w:r>
      <w:rPr>
        <w:rStyle w:val="12"/>
        <w:rFonts w:hint="default"/>
      </w:rPr>
      <w:tab/>
    </w:r>
    <w:r>
      <w:rPr>
        <w:rStyle w:val="12"/>
        <w:rFonts w:hint="default"/>
      </w:rPr>
      <w:tab/>
    </w:r>
    <w:r>
      <w:rPr>
        <w:rStyle w:val="12"/>
        <w:rFonts w:hint="default"/>
      </w:rPr>
      <w:tab/>
    </w:r>
  </w:p>
  <w:p>
    <w:pPr>
      <w:pStyle w:val="6"/>
      <w:pBdr>
        <w:bottom w:val="none" w:color="auto" w:sz="0" w:space="1"/>
      </w:pBdr>
      <w:spacing w:line="320" w:lineRule="exact"/>
      <w:jc w:val="left"/>
    </w:pPr>
    <w:r>
      <w:pict>
        <v:shape id="文本框 1" o:spid="_x0000_s3073" o:spt="202" type="#_x0000_t202" style="position:absolute;left:0pt;margin-left:554.75pt;margin-top:2.2pt;height:20.2pt;width:172pt;z-index:251660288;mso-width-relative:page;mso-height-relative:page;" stroked="f" coordsize="21600,21600" o:gfxdata="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">
          <v:path/>
          <v:fill focussize="0,0"/>
          <v:stroke on="f" joinstyle="miter"/>
          <v:imagedata o:title=""/>
          <o:lock v:ext="edit"/>
          <v:textbox>
            <w:txbxContent>
              <w:p>
                <w:r>
                  <w:rPr>
                    <w:rFonts w:hint="eastAsia"/>
                    <w:sz w:val="18"/>
                    <w:szCs w:val="18"/>
                  </w:rPr>
                  <w:t>ISC-B-I-19 管理体系审核记录表(03版)</w:t>
                </w:r>
              </w:p>
            </w:txbxContent>
          </v:textbox>
        </v:shape>
      </w:pict>
    </w:r>
    <w:r>
      <w:rPr>
        <w:rStyle w:val="12"/>
        <w:rFonts w:hint="default"/>
      </w:rPr>
      <w:t xml:space="preserve">        </w:t>
    </w:r>
    <w:r>
      <w:rPr>
        <w:rStyle w:val="12"/>
        <w:rFonts w:hint="default"/>
        <w:w w:val="90"/>
      </w:rPr>
      <w:t>Beijing International Standard united Certification Co.,Ltd.</w:t>
    </w:r>
    <w:r>
      <w:rPr>
        <w:rStyle w:val="12"/>
        <w:rFonts w:hint="default"/>
        <w:w w:val="90"/>
        <w:szCs w:val="21"/>
      </w:rPr>
      <w:t xml:space="preserve">  </w:t>
    </w:r>
    <w:r>
      <w:rPr>
        <w:rStyle w:val="12"/>
        <w:rFonts w:hint="default"/>
        <w:w w:val="90"/>
        <w:sz w:val="20"/>
      </w:rPr>
      <w:t xml:space="preserve"> </w:t>
    </w:r>
    <w:r>
      <w:rPr>
        <w:rStyle w:val="12"/>
        <w:rFonts w:hint="default"/>
        <w:w w:val="90"/>
      </w:rPr>
      <w:t xml:space="preserve">                   </w:t>
    </w:r>
  </w:p>
  <w:p>
    <w:pPr>
      <w:pStyle w:val="6"/>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85B09DE"/>
    <w:multiLevelType w:val="multilevel"/>
    <w:tmpl w:val="785B09DE"/>
    <w:lvl w:ilvl="0" w:tentative="0">
      <w:start w:val="1"/>
      <w:numFmt w:val="lowerLetter"/>
      <w:lvlText w:val="%1)"/>
      <w:lvlJc w:val="left"/>
      <w:pPr>
        <w:tabs>
          <w:tab w:val="left" w:pos="840"/>
        </w:tabs>
        <w:ind w:left="840" w:hanging="360"/>
      </w:pPr>
      <w:rPr>
        <w:rFonts w:hint="default"/>
      </w:rPr>
    </w:lvl>
    <w:lvl w:ilvl="1" w:tentative="0">
      <w:start w:val="1"/>
      <w:numFmt w:val="decimal"/>
      <w:lvlText w:val="%2）"/>
      <w:lvlJc w:val="left"/>
      <w:pPr>
        <w:tabs>
          <w:tab w:val="left" w:pos="1725"/>
        </w:tabs>
        <w:ind w:left="1725" w:hanging="825"/>
      </w:pPr>
      <w:rPr>
        <w:rFonts w:hint="default"/>
      </w:rPr>
    </w:lvl>
    <w:lvl w:ilvl="2" w:tentative="0">
      <w:start w:val="1"/>
      <w:numFmt w:val="lowerLetter"/>
      <w:lvlText w:val="%3）"/>
      <w:lvlJc w:val="left"/>
      <w:pPr>
        <w:tabs>
          <w:tab w:val="left" w:pos="2415"/>
        </w:tabs>
        <w:ind w:left="2415" w:hanging="1095"/>
      </w:pPr>
      <w:rPr>
        <w:rFonts w:hint="default"/>
        <w:color w:val="auto"/>
      </w:rPr>
    </w:lvl>
    <w:lvl w:ilvl="3" w:tentative="0">
      <w:start w:val="1"/>
      <w:numFmt w:val="decimal"/>
      <w:lvlText w:val="%4."/>
      <w:lvlJc w:val="left"/>
      <w:pPr>
        <w:tabs>
          <w:tab w:val="left" w:pos="2160"/>
        </w:tabs>
        <w:ind w:left="2160" w:hanging="420"/>
      </w:pPr>
    </w:lvl>
    <w:lvl w:ilvl="4" w:tentative="0">
      <w:start w:val="1"/>
      <w:numFmt w:val="lowerLetter"/>
      <w:lvlText w:val="%5)"/>
      <w:lvlJc w:val="left"/>
      <w:pPr>
        <w:tabs>
          <w:tab w:val="left" w:pos="2580"/>
        </w:tabs>
        <w:ind w:left="2580" w:hanging="420"/>
      </w:pPr>
    </w:lvl>
    <w:lvl w:ilvl="5" w:tentative="0">
      <w:start w:val="1"/>
      <w:numFmt w:val="lowerRoman"/>
      <w:lvlText w:val="%6."/>
      <w:lvlJc w:val="right"/>
      <w:pPr>
        <w:tabs>
          <w:tab w:val="left" w:pos="3000"/>
        </w:tabs>
        <w:ind w:left="3000" w:hanging="420"/>
      </w:pPr>
    </w:lvl>
    <w:lvl w:ilvl="6" w:tentative="0">
      <w:start w:val="1"/>
      <w:numFmt w:val="decimal"/>
      <w:lvlText w:val="%7."/>
      <w:lvlJc w:val="left"/>
      <w:pPr>
        <w:tabs>
          <w:tab w:val="left" w:pos="3420"/>
        </w:tabs>
        <w:ind w:left="3420" w:hanging="420"/>
      </w:pPr>
    </w:lvl>
    <w:lvl w:ilvl="7" w:tentative="0">
      <w:start w:val="1"/>
      <w:numFmt w:val="lowerLetter"/>
      <w:lvlText w:val="%8)"/>
      <w:lvlJc w:val="left"/>
      <w:pPr>
        <w:tabs>
          <w:tab w:val="left" w:pos="3840"/>
        </w:tabs>
        <w:ind w:left="3840" w:hanging="420"/>
      </w:pPr>
    </w:lvl>
    <w:lvl w:ilvl="8" w:tentative="0">
      <w:start w:val="1"/>
      <w:numFmt w:val="lowerRoman"/>
      <w:lvlText w:val="%9."/>
      <w:lvlJc w:val="right"/>
      <w:pPr>
        <w:tabs>
          <w:tab w:val="left" w:pos="4260"/>
        </w:tabs>
        <w:ind w:left="426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hdrShapeDefaults>
    <o:shapelayout v:ext="edit">
      <o:idmap v:ext="edit" data="2,3"/>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9973B4"/>
    <w:rsid w:val="00005609"/>
    <w:rsid w:val="000237F6"/>
    <w:rsid w:val="0003373A"/>
    <w:rsid w:val="00060750"/>
    <w:rsid w:val="000739BE"/>
    <w:rsid w:val="000E3042"/>
    <w:rsid w:val="000E5BFA"/>
    <w:rsid w:val="00102C2D"/>
    <w:rsid w:val="00110EDF"/>
    <w:rsid w:val="001123B3"/>
    <w:rsid w:val="00181638"/>
    <w:rsid w:val="001A2D7F"/>
    <w:rsid w:val="001B3147"/>
    <w:rsid w:val="001D1990"/>
    <w:rsid w:val="001F1234"/>
    <w:rsid w:val="00247B3C"/>
    <w:rsid w:val="00337922"/>
    <w:rsid w:val="00340867"/>
    <w:rsid w:val="00380837"/>
    <w:rsid w:val="003A198A"/>
    <w:rsid w:val="003C35B0"/>
    <w:rsid w:val="00410914"/>
    <w:rsid w:val="004A5111"/>
    <w:rsid w:val="00536930"/>
    <w:rsid w:val="00564E53"/>
    <w:rsid w:val="00595C2E"/>
    <w:rsid w:val="00644FE2"/>
    <w:rsid w:val="00653868"/>
    <w:rsid w:val="00667D1F"/>
    <w:rsid w:val="00670ABE"/>
    <w:rsid w:val="00674B7D"/>
    <w:rsid w:val="0067640C"/>
    <w:rsid w:val="006813C1"/>
    <w:rsid w:val="006E678B"/>
    <w:rsid w:val="007020C1"/>
    <w:rsid w:val="007757F3"/>
    <w:rsid w:val="007D2631"/>
    <w:rsid w:val="007E6AEB"/>
    <w:rsid w:val="00831F15"/>
    <w:rsid w:val="008605EC"/>
    <w:rsid w:val="00866E70"/>
    <w:rsid w:val="00867EC0"/>
    <w:rsid w:val="008973EE"/>
    <w:rsid w:val="0090631B"/>
    <w:rsid w:val="009165BB"/>
    <w:rsid w:val="009306B5"/>
    <w:rsid w:val="00947A4B"/>
    <w:rsid w:val="00971600"/>
    <w:rsid w:val="009973B4"/>
    <w:rsid w:val="009C28C1"/>
    <w:rsid w:val="009D02F0"/>
    <w:rsid w:val="009F7EED"/>
    <w:rsid w:val="00A20BA1"/>
    <w:rsid w:val="00A719E6"/>
    <w:rsid w:val="00A93DC5"/>
    <w:rsid w:val="00AB204D"/>
    <w:rsid w:val="00AF0AAB"/>
    <w:rsid w:val="00B168E0"/>
    <w:rsid w:val="00B2218E"/>
    <w:rsid w:val="00BC6F9D"/>
    <w:rsid w:val="00BF597E"/>
    <w:rsid w:val="00C073BA"/>
    <w:rsid w:val="00C51A36"/>
    <w:rsid w:val="00C55228"/>
    <w:rsid w:val="00CA0D24"/>
    <w:rsid w:val="00CE315A"/>
    <w:rsid w:val="00CF7141"/>
    <w:rsid w:val="00D06F59"/>
    <w:rsid w:val="00D4759C"/>
    <w:rsid w:val="00D552C7"/>
    <w:rsid w:val="00D8388C"/>
    <w:rsid w:val="00E10AB3"/>
    <w:rsid w:val="00E21595"/>
    <w:rsid w:val="00E236E6"/>
    <w:rsid w:val="00E9477B"/>
    <w:rsid w:val="00E96ABE"/>
    <w:rsid w:val="00EA4982"/>
    <w:rsid w:val="00EB0164"/>
    <w:rsid w:val="00ED0F62"/>
    <w:rsid w:val="00FD2496"/>
    <w:rsid w:val="019B4120"/>
    <w:rsid w:val="019F117D"/>
    <w:rsid w:val="01CC11E1"/>
    <w:rsid w:val="02110C4D"/>
    <w:rsid w:val="026E06D9"/>
    <w:rsid w:val="027F1A3A"/>
    <w:rsid w:val="029A7DEB"/>
    <w:rsid w:val="02C3322E"/>
    <w:rsid w:val="03D21F27"/>
    <w:rsid w:val="043B776B"/>
    <w:rsid w:val="0496794D"/>
    <w:rsid w:val="04AB7014"/>
    <w:rsid w:val="04B54E95"/>
    <w:rsid w:val="053E0778"/>
    <w:rsid w:val="06154BD9"/>
    <w:rsid w:val="062A5C24"/>
    <w:rsid w:val="0647612C"/>
    <w:rsid w:val="065114B0"/>
    <w:rsid w:val="066122DE"/>
    <w:rsid w:val="06DE70D2"/>
    <w:rsid w:val="071866D6"/>
    <w:rsid w:val="07812A85"/>
    <w:rsid w:val="08A81132"/>
    <w:rsid w:val="09453B5B"/>
    <w:rsid w:val="097E08DB"/>
    <w:rsid w:val="0A1B0DCE"/>
    <w:rsid w:val="0A674ACD"/>
    <w:rsid w:val="0AF71A5B"/>
    <w:rsid w:val="0B24440A"/>
    <w:rsid w:val="0B61115E"/>
    <w:rsid w:val="0B9B2016"/>
    <w:rsid w:val="0BA700E3"/>
    <w:rsid w:val="0BC002A3"/>
    <w:rsid w:val="0C6022C4"/>
    <w:rsid w:val="0C870EB7"/>
    <w:rsid w:val="0DE31B01"/>
    <w:rsid w:val="0E16667D"/>
    <w:rsid w:val="0E581367"/>
    <w:rsid w:val="0EBF7D62"/>
    <w:rsid w:val="0ED971D6"/>
    <w:rsid w:val="0F0C4590"/>
    <w:rsid w:val="0F6B16D2"/>
    <w:rsid w:val="0FC04054"/>
    <w:rsid w:val="108027CE"/>
    <w:rsid w:val="108219C2"/>
    <w:rsid w:val="114B0088"/>
    <w:rsid w:val="11592EEE"/>
    <w:rsid w:val="120331EB"/>
    <w:rsid w:val="12141C48"/>
    <w:rsid w:val="12A15C38"/>
    <w:rsid w:val="12BB136F"/>
    <w:rsid w:val="1325761F"/>
    <w:rsid w:val="1335662A"/>
    <w:rsid w:val="13775002"/>
    <w:rsid w:val="15A97B5D"/>
    <w:rsid w:val="15B014F2"/>
    <w:rsid w:val="16047CD6"/>
    <w:rsid w:val="161A6C58"/>
    <w:rsid w:val="16823D74"/>
    <w:rsid w:val="17A52ED9"/>
    <w:rsid w:val="17C7090E"/>
    <w:rsid w:val="17DF7D32"/>
    <w:rsid w:val="17FE5673"/>
    <w:rsid w:val="180D4E8E"/>
    <w:rsid w:val="188612C1"/>
    <w:rsid w:val="18990E31"/>
    <w:rsid w:val="19033CE3"/>
    <w:rsid w:val="19250E5B"/>
    <w:rsid w:val="192868F4"/>
    <w:rsid w:val="1A3E6DDE"/>
    <w:rsid w:val="1AE45AC8"/>
    <w:rsid w:val="1B3B492B"/>
    <w:rsid w:val="1B614031"/>
    <w:rsid w:val="1B8C32FD"/>
    <w:rsid w:val="1BA36AD8"/>
    <w:rsid w:val="1BD26C0C"/>
    <w:rsid w:val="1C122FF3"/>
    <w:rsid w:val="1CC30B95"/>
    <w:rsid w:val="1CCA306F"/>
    <w:rsid w:val="1D1B6189"/>
    <w:rsid w:val="1DA96624"/>
    <w:rsid w:val="1DB40511"/>
    <w:rsid w:val="1DF23DA4"/>
    <w:rsid w:val="1E3F4877"/>
    <w:rsid w:val="1EB93639"/>
    <w:rsid w:val="1F001E27"/>
    <w:rsid w:val="1F5437FD"/>
    <w:rsid w:val="1F9C054F"/>
    <w:rsid w:val="1FC446A9"/>
    <w:rsid w:val="1FE73306"/>
    <w:rsid w:val="1FED3750"/>
    <w:rsid w:val="20E401A2"/>
    <w:rsid w:val="21261BDB"/>
    <w:rsid w:val="2127238C"/>
    <w:rsid w:val="21DD65E7"/>
    <w:rsid w:val="221A2861"/>
    <w:rsid w:val="22881A36"/>
    <w:rsid w:val="22AD6B01"/>
    <w:rsid w:val="22BC1E00"/>
    <w:rsid w:val="23841975"/>
    <w:rsid w:val="23C627F9"/>
    <w:rsid w:val="24F00D62"/>
    <w:rsid w:val="25440405"/>
    <w:rsid w:val="256D5A13"/>
    <w:rsid w:val="260820B2"/>
    <w:rsid w:val="26281911"/>
    <w:rsid w:val="262977D5"/>
    <w:rsid w:val="26494502"/>
    <w:rsid w:val="267A6D43"/>
    <w:rsid w:val="270F1C54"/>
    <w:rsid w:val="273F79EC"/>
    <w:rsid w:val="275A4747"/>
    <w:rsid w:val="279A2B2F"/>
    <w:rsid w:val="282C3C27"/>
    <w:rsid w:val="287C1C8A"/>
    <w:rsid w:val="28E4532A"/>
    <w:rsid w:val="29A74BE8"/>
    <w:rsid w:val="2A0273BD"/>
    <w:rsid w:val="2A8D580F"/>
    <w:rsid w:val="2AD97FCE"/>
    <w:rsid w:val="2B380324"/>
    <w:rsid w:val="2B865215"/>
    <w:rsid w:val="2BCF7358"/>
    <w:rsid w:val="2BE54A94"/>
    <w:rsid w:val="2C651DD0"/>
    <w:rsid w:val="2CA04E6A"/>
    <w:rsid w:val="2CC53862"/>
    <w:rsid w:val="2CC80689"/>
    <w:rsid w:val="2CD67C59"/>
    <w:rsid w:val="2D0655DD"/>
    <w:rsid w:val="2D142B6B"/>
    <w:rsid w:val="2D721C9A"/>
    <w:rsid w:val="2DFC224D"/>
    <w:rsid w:val="2F453830"/>
    <w:rsid w:val="2F4C29F8"/>
    <w:rsid w:val="2FE5562A"/>
    <w:rsid w:val="323039B7"/>
    <w:rsid w:val="337411FB"/>
    <w:rsid w:val="337450D7"/>
    <w:rsid w:val="339E2363"/>
    <w:rsid w:val="33C24B6C"/>
    <w:rsid w:val="33F001D0"/>
    <w:rsid w:val="348B0E2D"/>
    <w:rsid w:val="34CD3055"/>
    <w:rsid w:val="354960C5"/>
    <w:rsid w:val="35F05044"/>
    <w:rsid w:val="35FB0162"/>
    <w:rsid w:val="36A24488"/>
    <w:rsid w:val="36BB60EF"/>
    <w:rsid w:val="374A6B28"/>
    <w:rsid w:val="37A62515"/>
    <w:rsid w:val="3815470B"/>
    <w:rsid w:val="3834548F"/>
    <w:rsid w:val="386C58C4"/>
    <w:rsid w:val="388E52CA"/>
    <w:rsid w:val="38E16034"/>
    <w:rsid w:val="3A113677"/>
    <w:rsid w:val="3A187D7C"/>
    <w:rsid w:val="3A6333DF"/>
    <w:rsid w:val="3AB17966"/>
    <w:rsid w:val="3ADA0A52"/>
    <w:rsid w:val="3AEF3729"/>
    <w:rsid w:val="3B0666EC"/>
    <w:rsid w:val="3B39621D"/>
    <w:rsid w:val="3BF76389"/>
    <w:rsid w:val="3C5C6143"/>
    <w:rsid w:val="3C5E016C"/>
    <w:rsid w:val="3C854557"/>
    <w:rsid w:val="3C934504"/>
    <w:rsid w:val="3CB37FB3"/>
    <w:rsid w:val="3CBB4B01"/>
    <w:rsid w:val="3CE628CF"/>
    <w:rsid w:val="3D59619C"/>
    <w:rsid w:val="3DE02A07"/>
    <w:rsid w:val="3DFF7BC6"/>
    <w:rsid w:val="3E1157EC"/>
    <w:rsid w:val="3ED81901"/>
    <w:rsid w:val="3EFB2A1B"/>
    <w:rsid w:val="3F572254"/>
    <w:rsid w:val="3FA609EA"/>
    <w:rsid w:val="3FA72DB8"/>
    <w:rsid w:val="3FDB31DB"/>
    <w:rsid w:val="3FF21181"/>
    <w:rsid w:val="40146DAC"/>
    <w:rsid w:val="40620F88"/>
    <w:rsid w:val="40E67CA2"/>
    <w:rsid w:val="416F2F77"/>
    <w:rsid w:val="41F26D2F"/>
    <w:rsid w:val="422A1891"/>
    <w:rsid w:val="42EE4EEF"/>
    <w:rsid w:val="43031F33"/>
    <w:rsid w:val="43160210"/>
    <w:rsid w:val="43166C22"/>
    <w:rsid w:val="431D0AF7"/>
    <w:rsid w:val="43B871EA"/>
    <w:rsid w:val="4421634C"/>
    <w:rsid w:val="44572354"/>
    <w:rsid w:val="44E40D1B"/>
    <w:rsid w:val="455A11EF"/>
    <w:rsid w:val="455E34E6"/>
    <w:rsid w:val="46805483"/>
    <w:rsid w:val="472D3322"/>
    <w:rsid w:val="47B24333"/>
    <w:rsid w:val="47F16E83"/>
    <w:rsid w:val="484A756C"/>
    <w:rsid w:val="49BB746F"/>
    <w:rsid w:val="4A2F0587"/>
    <w:rsid w:val="4A9217AC"/>
    <w:rsid w:val="4A944E55"/>
    <w:rsid w:val="4B275D89"/>
    <w:rsid w:val="4B61588A"/>
    <w:rsid w:val="4BB90CD5"/>
    <w:rsid w:val="4BE140E3"/>
    <w:rsid w:val="4C8B0AE1"/>
    <w:rsid w:val="4C8F7213"/>
    <w:rsid w:val="4C9E28B0"/>
    <w:rsid w:val="4D8144CC"/>
    <w:rsid w:val="4E4C16AD"/>
    <w:rsid w:val="4F497FF6"/>
    <w:rsid w:val="4F53786F"/>
    <w:rsid w:val="4F6823F0"/>
    <w:rsid w:val="50034F89"/>
    <w:rsid w:val="5011106C"/>
    <w:rsid w:val="504355B1"/>
    <w:rsid w:val="50E0153E"/>
    <w:rsid w:val="50E6188C"/>
    <w:rsid w:val="51AA76B0"/>
    <w:rsid w:val="51C3292E"/>
    <w:rsid w:val="521B6F8A"/>
    <w:rsid w:val="54922BD7"/>
    <w:rsid w:val="54C73554"/>
    <w:rsid w:val="551A1BEC"/>
    <w:rsid w:val="559009AC"/>
    <w:rsid w:val="55B93A25"/>
    <w:rsid w:val="560D017D"/>
    <w:rsid w:val="565358F3"/>
    <w:rsid w:val="57B762C1"/>
    <w:rsid w:val="58A576F7"/>
    <w:rsid w:val="58BF24EC"/>
    <w:rsid w:val="59350750"/>
    <w:rsid w:val="595C2A6A"/>
    <w:rsid w:val="596D6873"/>
    <w:rsid w:val="59BC24CD"/>
    <w:rsid w:val="5A015538"/>
    <w:rsid w:val="5A722C62"/>
    <w:rsid w:val="5ADF1228"/>
    <w:rsid w:val="5B441338"/>
    <w:rsid w:val="5B6D31F6"/>
    <w:rsid w:val="5C2300C2"/>
    <w:rsid w:val="5C93598B"/>
    <w:rsid w:val="5C96628C"/>
    <w:rsid w:val="5CC71D0B"/>
    <w:rsid w:val="5CE87006"/>
    <w:rsid w:val="5CF67C1C"/>
    <w:rsid w:val="5D2313D5"/>
    <w:rsid w:val="5D324F5F"/>
    <w:rsid w:val="5D491FB1"/>
    <w:rsid w:val="5D566746"/>
    <w:rsid w:val="5D712F46"/>
    <w:rsid w:val="5DD3247E"/>
    <w:rsid w:val="5DEA62E9"/>
    <w:rsid w:val="5E272639"/>
    <w:rsid w:val="5E882435"/>
    <w:rsid w:val="5EA12B9A"/>
    <w:rsid w:val="60126A84"/>
    <w:rsid w:val="608953A2"/>
    <w:rsid w:val="61676FF1"/>
    <w:rsid w:val="61870D02"/>
    <w:rsid w:val="61C3332C"/>
    <w:rsid w:val="61E91015"/>
    <w:rsid w:val="62DE32EE"/>
    <w:rsid w:val="630B4776"/>
    <w:rsid w:val="632F6E7C"/>
    <w:rsid w:val="638D508E"/>
    <w:rsid w:val="643C04EA"/>
    <w:rsid w:val="64CC00F9"/>
    <w:rsid w:val="65E205FD"/>
    <w:rsid w:val="65EF0C7F"/>
    <w:rsid w:val="65FB0E27"/>
    <w:rsid w:val="66407EBB"/>
    <w:rsid w:val="66411A04"/>
    <w:rsid w:val="66654381"/>
    <w:rsid w:val="669D5158"/>
    <w:rsid w:val="67330A18"/>
    <w:rsid w:val="67522E36"/>
    <w:rsid w:val="6779048E"/>
    <w:rsid w:val="67893220"/>
    <w:rsid w:val="67D558BE"/>
    <w:rsid w:val="67D968EA"/>
    <w:rsid w:val="68056E47"/>
    <w:rsid w:val="680A1C17"/>
    <w:rsid w:val="68CB2D06"/>
    <w:rsid w:val="68F42802"/>
    <w:rsid w:val="69084645"/>
    <w:rsid w:val="69BC5DF6"/>
    <w:rsid w:val="6A0B4000"/>
    <w:rsid w:val="6A2364FE"/>
    <w:rsid w:val="6A880511"/>
    <w:rsid w:val="6B27438D"/>
    <w:rsid w:val="6B330DCD"/>
    <w:rsid w:val="6D421482"/>
    <w:rsid w:val="6D492A58"/>
    <w:rsid w:val="6E4C0F7B"/>
    <w:rsid w:val="6F494CC6"/>
    <w:rsid w:val="7040581D"/>
    <w:rsid w:val="705C060F"/>
    <w:rsid w:val="70612E30"/>
    <w:rsid w:val="70A9450E"/>
    <w:rsid w:val="72117043"/>
    <w:rsid w:val="72151090"/>
    <w:rsid w:val="729E1A74"/>
    <w:rsid w:val="72DF708A"/>
    <w:rsid w:val="73103127"/>
    <w:rsid w:val="733C08D8"/>
    <w:rsid w:val="73E5581D"/>
    <w:rsid w:val="7480693E"/>
    <w:rsid w:val="75543EE0"/>
    <w:rsid w:val="75B50170"/>
    <w:rsid w:val="75F63CBB"/>
    <w:rsid w:val="762160A6"/>
    <w:rsid w:val="76B710FF"/>
    <w:rsid w:val="77736EFD"/>
    <w:rsid w:val="780B6495"/>
    <w:rsid w:val="78397613"/>
    <w:rsid w:val="79420433"/>
    <w:rsid w:val="7980569E"/>
    <w:rsid w:val="79972CD1"/>
    <w:rsid w:val="79A53344"/>
    <w:rsid w:val="79E82F3D"/>
    <w:rsid w:val="7A5D620D"/>
    <w:rsid w:val="7A9511B9"/>
    <w:rsid w:val="7BDD4178"/>
    <w:rsid w:val="7C962963"/>
    <w:rsid w:val="7CC0661E"/>
    <w:rsid w:val="7D125156"/>
    <w:rsid w:val="7D724772"/>
    <w:rsid w:val="7D946D75"/>
    <w:rsid w:val="7E525717"/>
    <w:rsid w:val="7E617D00"/>
    <w:rsid w:val="7EA33C8C"/>
    <w:rsid w:val="7ECA7A69"/>
    <w:rsid w:val="7ED65D09"/>
    <w:rsid w:val="7EDE7949"/>
    <w:rsid w:val="7F8A7C7A"/>
    <w:rsid w:val="7FDB5795"/>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qFormat="1"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after="160" w:line="259" w:lineRule="auto"/>
      <w:jc w:val="both"/>
    </w:pPr>
    <w:rPr>
      <w:rFonts w:ascii="Times New Roman" w:hAnsi="Times New Roman" w:eastAsia="宋体" w:cs="Times New Roman"/>
      <w:kern w:val="2"/>
      <w:sz w:val="21"/>
      <w:lang w:val="en-US" w:eastAsia="zh-CN" w:bidi="ar-SA"/>
    </w:rPr>
  </w:style>
  <w:style w:type="character" w:default="1" w:styleId="8">
    <w:name w:val="Default Paragraph Font"/>
    <w:semiHidden/>
    <w:unhideWhenUsed/>
    <w:uiPriority w:val="1"/>
  </w:style>
  <w:style w:type="table" w:default="1" w:styleId="7">
    <w:name w:val="Normal Table"/>
    <w:semiHidden/>
    <w:unhideWhenUsed/>
    <w:uiPriority w:val="99"/>
    <w:tblPr>
      <w:tblCellMar>
        <w:top w:w="0" w:type="dxa"/>
        <w:left w:w="108" w:type="dxa"/>
        <w:bottom w:w="0" w:type="dxa"/>
        <w:right w:w="108" w:type="dxa"/>
      </w:tblCellMar>
    </w:tblPr>
  </w:style>
  <w:style w:type="paragraph" w:customStyle="1" w:styleId="2">
    <w:name w:val="表格文字"/>
    <w:basedOn w:val="1"/>
    <w:qFormat/>
    <w:uiPriority w:val="0"/>
    <w:pPr>
      <w:spacing w:before="25" w:after="25"/>
    </w:pPr>
    <w:rPr>
      <w:bCs/>
      <w:spacing w:val="10"/>
    </w:rPr>
  </w:style>
  <w:style w:type="paragraph" w:styleId="3">
    <w:name w:val="Body Text Indent"/>
    <w:basedOn w:val="1"/>
    <w:link w:val="14"/>
    <w:unhideWhenUsed/>
    <w:qFormat/>
    <w:uiPriority w:val="99"/>
    <w:pPr>
      <w:spacing w:after="120"/>
      <w:ind w:left="420" w:leftChars="200"/>
    </w:pPr>
  </w:style>
  <w:style w:type="paragraph" w:styleId="4">
    <w:name w:val="Balloon Text"/>
    <w:basedOn w:val="1"/>
    <w:link w:val="11"/>
    <w:semiHidden/>
    <w:unhideWhenUsed/>
    <w:qFormat/>
    <w:uiPriority w:val="99"/>
    <w:rPr>
      <w:sz w:val="18"/>
      <w:szCs w:val="18"/>
    </w:rPr>
  </w:style>
  <w:style w:type="paragraph" w:styleId="5">
    <w:name w:val="footer"/>
    <w:basedOn w:val="1"/>
    <w:link w:val="10"/>
    <w:unhideWhenUsed/>
    <w:qFormat/>
    <w:uiPriority w:val="99"/>
    <w:pPr>
      <w:tabs>
        <w:tab w:val="center" w:pos="4153"/>
        <w:tab w:val="right" w:pos="8306"/>
      </w:tabs>
      <w:snapToGrid w:val="0"/>
      <w:jc w:val="left"/>
    </w:pPr>
    <w:rPr>
      <w:sz w:val="18"/>
      <w:szCs w:val="18"/>
    </w:rPr>
  </w:style>
  <w:style w:type="paragraph" w:styleId="6">
    <w:name w:val="header"/>
    <w:basedOn w:val="1"/>
    <w:link w:val="9"/>
    <w:unhideWhenUsed/>
    <w:qFormat/>
    <w:uiPriority w:val="0"/>
    <w:pPr>
      <w:pBdr>
        <w:bottom w:val="single" w:color="auto" w:sz="6" w:space="1"/>
      </w:pBdr>
      <w:tabs>
        <w:tab w:val="center" w:pos="4153"/>
        <w:tab w:val="right" w:pos="8306"/>
      </w:tabs>
      <w:snapToGrid w:val="0"/>
      <w:jc w:val="center"/>
    </w:pPr>
    <w:rPr>
      <w:sz w:val="18"/>
      <w:szCs w:val="18"/>
    </w:rPr>
  </w:style>
  <w:style w:type="character" w:customStyle="1" w:styleId="9">
    <w:name w:val="页眉 Char"/>
    <w:basedOn w:val="8"/>
    <w:link w:val="6"/>
    <w:qFormat/>
    <w:uiPriority w:val="99"/>
    <w:rPr>
      <w:rFonts w:ascii="Times New Roman" w:hAnsi="Times New Roman" w:eastAsia="宋体" w:cs="Times New Roman"/>
      <w:sz w:val="18"/>
      <w:szCs w:val="18"/>
    </w:rPr>
  </w:style>
  <w:style w:type="character" w:customStyle="1" w:styleId="10">
    <w:name w:val="页脚 Char"/>
    <w:basedOn w:val="8"/>
    <w:link w:val="5"/>
    <w:qFormat/>
    <w:uiPriority w:val="99"/>
    <w:rPr>
      <w:rFonts w:ascii="Times New Roman" w:hAnsi="Times New Roman" w:eastAsia="宋体" w:cs="Times New Roman"/>
      <w:sz w:val="18"/>
      <w:szCs w:val="18"/>
    </w:rPr>
  </w:style>
  <w:style w:type="character" w:customStyle="1" w:styleId="11">
    <w:name w:val="批注框文本 Char"/>
    <w:basedOn w:val="8"/>
    <w:link w:val="4"/>
    <w:semiHidden/>
    <w:qFormat/>
    <w:uiPriority w:val="99"/>
    <w:rPr>
      <w:rFonts w:ascii="Times New Roman" w:hAnsi="Times New Roman" w:eastAsia="宋体" w:cs="Times New Roman"/>
      <w:sz w:val="18"/>
      <w:szCs w:val="18"/>
    </w:rPr>
  </w:style>
  <w:style w:type="character" w:customStyle="1" w:styleId="12">
    <w:name w:val="Char Char1"/>
    <w:qFormat/>
    <w:locked/>
    <w:uiPriority w:val="0"/>
    <w:rPr>
      <w:rFonts w:hint="eastAsia" w:ascii="宋体" w:hAnsi="Courier New" w:eastAsia="宋体"/>
      <w:kern w:val="2"/>
      <w:sz w:val="21"/>
      <w:lang w:val="en-US" w:eastAsia="zh-CN" w:bidi="ar-SA"/>
    </w:rPr>
  </w:style>
  <w:style w:type="paragraph" w:customStyle="1" w:styleId="13">
    <w:name w:val="_Style 2"/>
    <w:basedOn w:val="1"/>
    <w:qFormat/>
    <w:uiPriority w:val="34"/>
    <w:pPr>
      <w:ind w:firstLine="420" w:firstLineChars="200"/>
    </w:pPr>
    <w:rPr>
      <w:rFonts w:ascii="Calibri" w:hAnsi="Calibri"/>
      <w:szCs w:val="22"/>
    </w:rPr>
  </w:style>
  <w:style w:type="character" w:customStyle="1" w:styleId="14">
    <w:name w:val="正文文本缩进 Char"/>
    <w:basedOn w:val="8"/>
    <w:link w:val="3"/>
    <w:uiPriority w:val="99"/>
    <w:rPr>
      <w:kern w:val="2"/>
      <w:sz w:val="21"/>
      <w:lang w:val="en-US"/>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2.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3073"/>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A6E9DC3-0E84-4DE3-99A3-0933DDD5F7AF}">
  <ds:schemaRefs/>
</ds:datastoreItem>
</file>

<file path=docProps/app.xml><?xml version="1.0" encoding="utf-8"?>
<Properties xmlns="http://schemas.openxmlformats.org/officeDocument/2006/extended-properties" xmlns:vt="http://schemas.openxmlformats.org/officeDocument/2006/docPropsVTypes">
  <Template>Normal</Template>
  <Company>TUV</Company>
  <Pages>5</Pages>
  <Words>372</Words>
  <Characters>2124</Characters>
  <Lines>17</Lines>
  <Paragraphs>4</Paragraphs>
  <TotalTime>105</TotalTime>
  <ScaleCrop>false</ScaleCrop>
  <LinksUpToDate>false</LinksUpToDate>
  <CharactersWithSpaces>2492</CharactersWithSpaces>
  <Application>WPS Office_11.1.0.10463_F1E327BC-269C-435d-A152-05C5408002CA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2015-06-17T12:51:00Z</dcterms:created>
  <dc:creator>微软用户</dc:creator>
  <cp:lastModifiedBy>叶子</cp:lastModifiedBy>
  <dcterms:modified xsi:type="dcterms:W3CDTF">2021-04-19T14:43:48Z</dcterms:modified>
  <cp:revision>32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2052-11.1.0.10463</vt:lpwstr>
  </property>
  <property fmtid="{D5CDD505-2E9C-101B-9397-08002B2CF9AE}" pid="3" name="ICV">
    <vt:lpwstr>0C35894C51EC4986B442A84E0B02F012</vt:lpwstr>
  </property>
</Properties>
</file>