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海南济民博鳌国际医院有限公司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0120-2021-QE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王忠伟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13976905724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Q：内科、外科、眼科、医疗美容科、肿瘤科、麻醉科、医学检验科、医学影像科的医疗服务（限许可范围内）</w:t>
            </w:r>
          </w:p>
          <w:p>
            <w:r>
              <w:t>E：内科、外科、眼科、医疗美容科、肿瘤科、麻醉科、医学检验科、医学影像科的医疗服务（限许可范围内）所涉及场所的相关环境管理活动</w:t>
            </w:r>
            <w:bookmarkEnd w:id="10"/>
          </w:p>
          <w:p>
            <w:pPr>
              <w:pStyle w:val="2"/>
            </w:pP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Q：38.01.00</w:t>
            </w:r>
          </w:p>
          <w:p>
            <w:r>
              <w:t>E：38.01.00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2021年04月08日 上午至2021年04月09日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杨白琳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13098998087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8:30-17:00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（含员工代表）：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安全事故及投诉情况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 4.1/4.3/4.4/5.2/6.2/7.1/9.3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营销客服部/客服中心/设备维修信息工程部/后勤部/人力资源部/财务部：风险及机遇的识别及控制情况、人力资源情况、监视测量设备、文件控制情况、内部审核策划及内审情况，合规供方评审、采购合同、销售合同的控制、以便为策划第二阶段提供关注点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ES：5.3/ 6.1/6.2/7.5/8.2/8.4/9.2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Q：5.3 6.1/6.2/7.1.3/7.1.5/7.1.6/7.5/8.2/8.4/9.2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医疗科教部/护理部:医疗服务流程、服务策划、特殊过程控制、医疗服务设计开发情况、产品的验收、以及环境运行情况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Q：5.3/6.2/8.1/8.3/8.5/8.6/8.7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E: 5.3/6.1.2/6.1.3/6.2.2/8.1/8.2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0"/>
                <w:lang w:val="en-US" w:eastAsia="zh-CN"/>
              </w:rPr>
              <w:t>8:00-11:00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 w:firstLineChars="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午餐时间：12：00-13：00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A0898"/>
    <w:rsid w:val="29FE487D"/>
    <w:rsid w:val="31AB3E7C"/>
    <w:rsid w:val="4E9A2F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2021-04-13T14:08:38Z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6A4E931F7E6E4932B2C76E5E11B4260B</vt:lpwstr>
  </property>
</Properties>
</file>