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Cs w:val="44"/>
          <w:u w:val="single"/>
        </w:rPr>
        <w:t>0277-2021-EnMS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cstate="print"/>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none"/>
        </w:rPr>
        <w:t xml:space="preserve"> </w:t>
      </w:r>
      <w:bookmarkStart w:id="1" w:name="组织名称"/>
      <w:r>
        <w:rPr>
          <w:rFonts w:hint="eastAsia"/>
          <w:sz w:val="28"/>
          <w:szCs w:val="28"/>
        </w:rPr>
        <w:t>襄阳华壁新型建材有限公司</w:t>
      </w:r>
      <w:bookmarkEnd w:id="1"/>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□食品安全管理体系（FSMS）</w:t>
      </w:r>
    </w:p>
    <w:p>
      <w:pPr>
        <w:jc w:val="left"/>
        <w:rPr>
          <w:sz w:val="28"/>
          <w:szCs w:val="28"/>
        </w:rPr>
      </w:pPr>
      <w:r>
        <w:rPr>
          <w:rFonts w:hint="eastAsia"/>
          <w:sz w:val="28"/>
          <w:szCs w:val="28"/>
        </w:rPr>
        <w:t>□危害分析与关键控制点管理体系（HACCP）</w:t>
      </w:r>
    </w:p>
    <w:p>
      <w:pPr>
        <w:jc w:val="left"/>
        <w:rPr>
          <w:sz w:val="28"/>
          <w:szCs w:val="28"/>
          <w:highlight w:val="none"/>
        </w:rPr>
      </w:pPr>
      <w:r>
        <w:rPr>
          <w:rFonts w:hint="eastAsia"/>
          <w:sz w:val="28"/>
          <w:szCs w:val="28"/>
          <w:lang w:eastAsia="zh-CN"/>
        </w:rPr>
        <w:t>☑</w:t>
      </w:r>
      <w:r>
        <w:rPr>
          <w:rFonts w:hint="eastAsia"/>
          <w:sz w:val="28"/>
          <w:szCs w:val="28"/>
          <w:highlight w:val="none"/>
        </w:rPr>
        <w:t>能源管理体系（</w:t>
      </w:r>
      <w:r>
        <w:rPr>
          <w:sz w:val="28"/>
          <w:szCs w:val="28"/>
          <w:highlight w:val="none"/>
        </w:rPr>
        <w:t>E</w:t>
      </w:r>
      <w:r>
        <w:rPr>
          <w:rFonts w:hint="eastAsia"/>
          <w:sz w:val="28"/>
          <w:szCs w:val="28"/>
          <w:highlight w:val="none"/>
        </w:rPr>
        <w:t>n</w:t>
      </w:r>
      <w:r>
        <w:rPr>
          <w:sz w:val="28"/>
          <w:szCs w:val="28"/>
          <w:highlight w:val="none"/>
        </w:rPr>
        <w:t>MS</w:t>
      </w:r>
      <w:r>
        <w:rPr>
          <w:rFonts w:hint="eastAsia"/>
          <w:sz w:val="28"/>
          <w:szCs w:val="28"/>
          <w:highlight w:val="none"/>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933"/>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r>
              <w:rPr>
                <w:color w:val="000000"/>
                <w:szCs w:val="21"/>
              </w:rPr>
              <w:t>襄阳华壁新型建材有限公司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2" w:name="注册地址"/>
            <w:r>
              <w:t>襄阳市襄城区经济开发区8号路</w:t>
            </w:r>
            <w:bookmarkEnd w:id="2"/>
          </w:p>
        </w:tc>
        <w:tc>
          <w:tcPr>
            <w:tcW w:w="933" w:type="dxa"/>
            <w:vMerge w:val="restart"/>
            <w:vAlign w:val="center"/>
          </w:tcPr>
          <w:p>
            <w:r>
              <w:rPr>
                <w:rFonts w:hint="eastAsia"/>
              </w:rPr>
              <w:t>邮编</w:t>
            </w:r>
          </w:p>
        </w:tc>
        <w:tc>
          <w:tcPr>
            <w:tcW w:w="2080" w:type="dxa"/>
          </w:tcPr>
          <w:p>
            <w:pPr>
              <w:rPr>
                <w:rFonts w:hint="default" w:eastAsia="宋体"/>
                <w:lang w:val="en-US" w:eastAsia="zh-CN"/>
              </w:rPr>
            </w:pPr>
            <w:bookmarkStart w:id="3" w:name="生产邮编Add1"/>
            <w:r>
              <w:rPr>
                <w:rFonts w:ascii="宋体"/>
                <w:b/>
                <w:color w:val="000000"/>
                <w:sz w:val="20"/>
                <w:szCs w:val="20"/>
              </w:rPr>
              <w:t>441000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eastAsia" w:eastAsia="宋体"/>
                <w:lang w:val="en-US" w:eastAsia="zh-CN"/>
              </w:rPr>
            </w:pPr>
            <w:r>
              <w:rPr>
                <w:rFonts w:hint="eastAsia"/>
                <w:lang w:val="en-US" w:eastAsia="zh-CN"/>
              </w:rPr>
              <w:t>生产</w:t>
            </w:r>
            <w:r>
              <w:rPr>
                <w:rFonts w:hint="eastAsia"/>
              </w:rPr>
              <w:t>地址</w:t>
            </w:r>
            <w:r>
              <w:rPr>
                <w:rFonts w:hint="eastAsia"/>
                <w:lang w:val="en-US" w:eastAsia="zh-CN"/>
              </w:rPr>
              <w:t>1</w:t>
            </w:r>
          </w:p>
        </w:tc>
        <w:tc>
          <w:tcPr>
            <w:tcW w:w="5045" w:type="dxa"/>
            <w:gridSpan w:val="3"/>
          </w:tcPr>
          <w:p>
            <w:bookmarkStart w:id="4" w:name="生产地址"/>
            <w:r>
              <w:t>湖北省襄阳市襄城区经济开发区8号路</w:t>
            </w:r>
            <w:bookmarkEnd w:id="4"/>
          </w:p>
        </w:tc>
        <w:tc>
          <w:tcPr>
            <w:tcW w:w="933" w:type="dxa"/>
            <w:vMerge w:val="continue"/>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hint="default" w:eastAsia="宋体"/>
                <w:lang w:val="en-US" w:eastAsia="zh-CN"/>
              </w:rPr>
            </w:pPr>
            <w:r>
              <w:rPr>
                <w:rFonts w:hint="eastAsia"/>
                <w:lang w:val="en-US" w:eastAsia="zh-CN"/>
              </w:rPr>
              <w:t>生产地址2</w:t>
            </w:r>
          </w:p>
        </w:tc>
        <w:tc>
          <w:tcPr>
            <w:tcW w:w="5045" w:type="dxa"/>
            <w:gridSpan w:val="3"/>
          </w:tcPr>
          <w:p>
            <w:pPr>
              <w:rPr>
                <w:sz w:val="21"/>
                <w:szCs w:val="21"/>
              </w:rPr>
            </w:pPr>
          </w:p>
        </w:tc>
        <w:tc>
          <w:tcPr>
            <w:tcW w:w="933" w:type="dxa"/>
            <w:vAlign w:val="center"/>
          </w:tcP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pPr>
              <w:rPr>
                <w:rFonts w:hint="default" w:eastAsia="宋体"/>
                <w:lang w:val="en-US" w:eastAsia="zh-CN"/>
              </w:rPr>
            </w:pPr>
            <w:bookmarkStart w:id="5" w:name="联系人"/>
            <w:r>
              <w:t>吴传友</w:t>
            </w:r>
            <w:bookmarkEnd w:id="5"/>
          </w:p>
        </w:tc>
        <w:tc>
          <w:tcPr>
            <w:tcW w:w="1313" w:type="dxa"/>
            <w:vAlign w:val="center"/>
          </w:tcPr>
          <w:p>
            <w:r>
              <w:rPr>
                <w:rFonts w:hint="eastAsia"/>
              </w:rPr>
              <w:t>电话.</w:t>
            </w:r>
          </w:p>
        </w:tc>
        <w:tc>
          <w:tcPr>
            <w:tcW w:w="2180" w:type="dxa"/>
            <w:vAlign w:val="center"/>
          </w:tcPr>
          <w:p>
            <w:bookmarkStart w:id="6" w:name="联系人手机"/>
            <w:r>
              <w:t>15997223851</w:t>
            </w:r>
            <w:bookmarkEnd w:id="6"/>
          </w:p>
        </w:tc>
        <w:tc>
          <w:tcPr>
            <w:tcW w:w="933" w:type="dxa"/>
            <w:vAlign w:val="center"/>
          </w:tcPr>
          <w:p>
            <w:r>
              <w:rPr>
                <w:rFonts w:hint="eastAsia"/>
              </w:rPr>
              <w:t>传真</w:t>
            </w:r>
          </w:p>
        </w:tc>
        <w:tc>
          <w:tcPr>
            <w:tcW w:w="20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pPr>
              <w:rPr>
                <w:rFonts w:hint="eastAsia" w:eastAsia="宋体"/>
                <w:lang w:val="en-US" w:eastAsia="zh-CN"/>
              </w:rPr>
            </w:pPr>
            <w:bookmarkStart w:id="7" w:name="法人"/>
            <w:r>
              <w:t>陈龙</w:t>
            </w:r>
            <w:bookmarkEnd w:id="7"/>
          </w:p>
        </w:tc>
        <w:tc>
          <w:tcPr>
            <w:tcW w:w="1313" w:type="dxa"/>
            <w:vAlign w:val="center"/>
          </w:tcPr>
          <w:p>
            <w:r>
              <w:rPr>
                <w:rFonts w:hint="eastAsia"/>
              </w:rPr>
              <w:t>管理者代表</w:t>
            </w:r>
          </w:p>
        </w:tc>
        <w:tc>
          <w:tcPr>
            <w:tcW w:w="2180" w:type="dxa"/>
          </w:tcPr>
          <w:p>
            <w:pPr>
              <w:rPr>
                <w:rFonts w:hint="eastAsia" w:eastAsia="宋体"/>
                <w:lang w:val="en-US" w:eastAsia="zh-CN"/>
              </w:rPr>
            </w:pPr>
            <w:bookmarkStart w:id="8" w:name="管理者代表"/>
            <w:r>
              <w:rPr>
                <w:rFonts w:ascii="宋体"/>
                <w:b/>
                <w:color w:val="000000"/>
                <w:sz w:val="20"/>
                <w:szCs w:val="20"/>
              </w:rPr>
              <w:t>吴传友</w:t>
            </w:r>
            <w:bookmarkEnd w:id="8"/>
          </w:p>
        </w:tc>
        <w:tc>
          <w:tcPr>
            <w:tcW w:w="933" w:type="dxa"/>
          </w:tcPr>
          <w:p>
            <w:r>
              <w:rPr>
                <w:rFonts w:hint="eastAsia"/>
              </w:rPr>
              <w:t>邮箱</w:t>
            </w:r>
          </w:p>
        </w:tc>
        <w:tc>
          <w:tcPr>
            <w:tcW w:w="2080" w:type="dxa"/>
          </w:tcPr>
          <w:p>
            <w:bookmarkStart w:id="9" w:name="联系人邮箱Add1"/>
            <w:r>
              <w:rPr>
                <w:rFonts w:ascii="宋体"/>
                <w:b/>
                <w:color w:val="000000"/>
                <w:sz w:val="20"/>
                <w:szCs w:val="20"/>
              </w:rPr>
              <w:t>344917776@qq.com</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 xml:space="preserve">受审核组织的班次：□单班 </w:t>
            </w:r>
            <w:r>
              <w:rPr>
                <w:rFonts w:hint="eastAsia"/>
                <w:lang w:eastAsia="zh-CN"/>
              </w:rPr>
              <w:t>☑</w:t>
            </w:r>
            <w:r>
              <w:rPr>
                <w:rFonts w:hint="eastAsia"/>
              </w:rPr>
              <w:t>双班 □三班  □其他</w:t>
            </w:r>
          </w:p>
          <w:p>
            <w:r>
              <w:rPr>
                <w:rFonts w:hint="eastAsia"/>
                <w:color w:val="auto"/>
                <w:highlight w:val="none"/>
                <w:shd w:val="clear" w:fill="FFFFFF" w:themeFill="background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eastAsia="zh-CN"/>
              </w:rPr>
              <w:t>☑</w:t>
            </w:r>
            <w:r>
              <w:rPr>
                <w:rFonts w:hint="eastAsia"/>
                <w:lang w:val="en-US" w:eastAsia="zh-CN"/>
              </w:rPr>
              <w:t xml:space="preserve">是  </w:t>
            </w:r>
            <w:r>
              <w:rPr>
                <w:rFonts w:hint="eastAsia"/>
              </w:rPr>
              <w:t>□</w:t>
            </w:r>
            <w:r>
              <w:rPr>
                <w:rFonts w:hint="eastAsia"/>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669" w:type="dxa"/>
            <w:shd w:val="clear" w:color="auto" w:fill="auto"/>
          </w:tcPr>
          <w:p>
            <w:r>
              <w:rPr>
                <w:rFonts w:hint="eastAsia"/>
              </w:rPr>
              <w:t>生产/服务提供流程简图</w:t>
            </w:r>
          </w:p>
          <w:p>
            <w:bookmarkStart w:id="15" w:name="_GoBack"/>
            <w:bookmarkEnd w:id="15"/>
          </w:p>
        </w:tc>
        <w:tc>
          <w:tcPr>
            <w:tcW w:w="8058" w:type="dxa"/>
            <w:gridSpan w:val="5"/>
            <w:shd w:val="clear" w:color="auto" w:fill="auto"/>
          </w:tcPr>
          <w:p>
            <w:r>
              <w:rPr>
                <w:rFonts w:hint="eastAsia" w:ascii="宋体" w:hAnsi="宋体"/>
                <w:sz w:val="21"/>
                <w:szCs w:val="21"/>
              </w:rPr>
              <w:t>原材料制备（球磨 磨浆）-配料（中控室自动）-搅拌（铝粉 石灰 水泥）-浇注（温度控制42-45度）-静养（根据胚体的软硬度进行识别2-3小时 温度：45度）-切割（数控切割机）-蒸养（0-260度）- 成品入库堆放。</w:t>
            </w:r>
          </w:p>
        </w:tc>
      </w:tr>
    </w:tbl>
    <w:p/>
    <w:p>
      <w:r>
        <w:rPr>
          <w:rFonts w:hint="eastAsia"/>
        </w:rPr>
        <w:t>二、本次审核信息</w:t>
      </w:r>
    </w:p>
    <w:tbl>
      <w:tblPr>
        <w:tblStyle w:val="10"/>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 xml:space="preserve">审核日期 </w:t>
            </w:r>
          </w:p>
        </w:tc>
        <w:tc>
          <w:tcPr>
            <w:tcW w:w="7831" w:type="dxa"/>
            <w:gridSpan w:val="3"/>
            <w:tcMar>
              <w:left w:w="113" w:type="dxa"/>
            </w:tcMar>
          </w:tcPr>
          <w:p>
            <w:pPr>
              <w:rPr>
                <w:rFonts w:hint="default" w:eastAsia="宋体"/>
                <w:lang w:val="en-US" w:eastAsia="zh-CN"/>
              </w:rPr>
            </w:pPr>
            <w:bookmarkStart w:id="10" w:name="auDate"/>
            <w:bookmarkEnd w:id="10"/>
            <w:r>
              <w:rPr>
                <w:rFonts w:hint="eastAsia"/>
              </w:rPr>
              <w:t xml:space="preserve">  </w:t>
            </w:r>
            <w:r>
              <w:rPr>
                <w:rFonts w:hint="eastAsia"/>
                <w:lang w:val="en-US" w:eastAsia="zh-CN"/>
              </w:rPr>
              <w:t>2021</w:t>
            </w:r>
            <w:r>
              <w:rPr>
                <w:rFonts w:hint="eastAsia"/>
              </w:rPr>
              <w:t xml:space="preserve">年 </w:t>
            </w:r>
            <w:r>
              <w:rPr>
                <w:rFonts w:hint="eastAsia"/>
                <w:lang w:val="en-US" w:eastAsia="zh-CN"/>
              </w:rPr>
              <w:t>04</w:t>
            </w:r>
            <w:r>
              <w:rPr>
                <w:rFonts w:hint="eastAsia"/>
              </w:rPr>
              <w:t xml:space="preserve">月 </w:t>
            </w:r>
            <w:r>
              <w:rPr>
                <w:rFonts w:hint="eastAsia"/>
                <w:lang w:val="en-US" w:eastAsia="zh-CN"/>
              </w:rPr>
              <w:t>5</w:t>
            </w:r>
            <w:r>
              <w:rPr>
                <w:rFonts w:hint="eastAsia"/>
              </w:rPr>
              <w:t>日</w:t>
            </w:r>
            <w:r>
              <w:rPr>
                <w:rFonts w:hint="eastAsia"/>
                <w:lang w:val="en-US" w:eastAsia="zh-CN"/>
              </w:rPr>
              <w:t>13：00</w:t>
            </w:r>
            <w:r>
              <w:rPr>
                <w:rFonts w:hint="eastAsia"/>
              </w:rPr>
              <w:t xml:space="preserve">至  </w:t>
            </w:r>
            <w:r>
              <w:rPr>
                <w:rFonts w:hint="eastAsia"/>
                <w:lang w:val="en-US" w:eastAsia="zh-CN"/>
              </w:rPr>
              <w:t>2021</w:t>
            </w:r>
            <w:r>
              <w:rPr>
                <w:rFonts w:hint="eastAsia"/>
              </w:rPr>
              <w:t xml:space="preserve">年 </w:t>
            </w:r>
            <w:r>
              <w:rPr>
                <w:rFonts w:hint="eastAsia"/>
                <w:lang w:val="en-US" w:eastAsia="zh-CN"/>
              </w:rPr>
              <w:t>04</w:t>
            </w:r>
            <w:r>
              <w:rPr>
                <w:rFonts w:hint="eastAsia"/>
              </w:rPr>
              <w:t>月</w:t>
            </w:r>
            <w:r>
              <w:rPr>
                <w:rFonts w:hint="eastAsia"/>
                <w:lang w:val="en-US" w:eastAsia="zh-CN"/>
              </w:rPr>
              <w:t>7</w:t>
            </w:r>
            <w:r>
              <w:rPr>
                <w:rFonts w:hint="eastAsia"/>
              </w:rPr>
              <w:t xml:space="preserve">日 </w:t>
            </w:r>
            <w:r>
              <w:rPr>
                <w:rFonts w:hint="eastAsia"/>
                <w:lang w:val="en-US" w:eastAsia="zh-CN"/>
              </w:rPr>
              <w:t>12</w:t>
            </w:r>
            <w:r>
              <w:rPr>
                <w:rFonts w:hint="eastAsia"/>
              </w:rPr>
              <w:t>：</w:t>
            </w:r>
            <w:r>
              <w:rPr>
                <w:rFonts w:hint="eastAsia"/>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lang w:eastAsia="zh-CN"/>
              </w:rPr>
              <w:t>☑</w:t>
            </w:r>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800" w:hRule="exact"/>
        </w:trPr>
        <w:tc>
          <w:tcPr>
            <w:tcW w:w="1632" w:type="dxa"/>
            <w:gridSpan w:val="2"/>
          </w:tcPr>
          <w:p>
            <w:r>
              <w:rPr>
                <w:rFonts w:hint="eastAsia"/>
              </w:rPr>
              <w:t>审核准则</w:t>
            </w:r>
          </w:p>
          <w:p/>
        </w:tc>
        <w:tc>
          <w:tcPr>
            <w:tcW w:w="7831" w:type="dxa"/>
            <w:gridSpan w:val="3"/>
            <w:tcMar>
              <w:left w:w="113" w:type="dxa"/>
            </w:tcMar>
          </w:tcPr>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 xml:space="preserve">GB/T19001-2016/ISO9001:2015,  </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lang w:val="de-DE"/>
              </w:rPr>
              <w:t xml:space="preserve">□GB/T 50430-2017   </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GB/T24001-2016/ISO14001:2015</w:t>
            </w:r>
          </w:p>
          <w:p>
            <w:pPr>
              <w:jc w:val="left"/>
              <w:rPr>
                <w:rFonts w:hint="eastAsia" w:ascii="Times New Roman" w:hAnsi="Times New Roman" w:eastAsia="宋体" w:cs="Times New Roman"/>
                <w:lang w:val="de-DE"/>
              </w:rPr>
            </w:pPr>
            <w:r>
              <w:rPr>
                <w:rFonts w:hint="eastAsia"/>
              </w:rPr>
              <w:t>□</w:t>
            </w:r>
            <w:r>
              <w:rPr>
                <w:rFonts w:hint="eastAsia" w:ascii="Times New Roman" w:hAnsi="Times New Roman" w:eastAsia="宋体" w:cs="Times New Roman"/>
                <w:lang w:val="de-DE"/>
              </w:rPr>
              <w:t>GB/T45001-2020 / ISO45001：2018,</w:t>
            </w:r>
          </w:p>
          <w:p>
            <w:pPr>
              <w:jc w:val="left"/>
              <w:rPr>
                <w:rFonts w:hint="eastAsia" w:ascii="Times New Roman" w:hAnsi="Times New Roman" w:eastAsia="宋体" w:cs="Times New Roman"/>
                <w:lang w:val="en-US" w:eastAsia="zh-CN"/>
              </w:rPr>
            </w:pPr>
            <w:r>
              <w:rPr>
                <w:rFonts w:hint="eastAsia"/>
                <w:lang w:eastAsia="zh-CN"/>
              </w:rPr>
              <w:t>☑</w:t>
            </w: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8</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 xml:space="preserve">FSMS：□ GB/T22000-2006  □技术规范：CNCA/CTS 00XX-2008A（CCAA00XX-2014） 食品安全管理体系 XX加工企业要求                </w:t>
            </w:r>
          </w:p>
          <w:p>
            <w:pPr>
              <w:jc w:val="left"/>
              <w:rPr>
                <w:rFonts w:hint="eastAsia" w:ascii="Times New Roman" w:hAnsi="Times New Roman" w:eastAsia="宋体" w:cs="Times New Roman"/>
                <w:lang w:val="de-DE"/>
              </w:rPr>
            </w:pPr>
            <w:r>
              <w:rPr>
                <w:rFonts w:hint="eastAsia" w:ascii="Times New Roman" w:hAnsi="Times New Roman" w:eastAsia="宋体" w:cs="Times New Roman"/>
                <w:lang w:val="de-DE"/>
              </w:rPr>
              <w:t>HACCP：□ GB/T27341-2009 □ GB 14881-2013 □《危害分析与关键控制点（HACCP体系）认证补充要求 1.0》</w:t>
            </w:r>
          </w:p>
          <w:p>
            <w:pPr>
              <w:jc w:val="left"/>
              <w:rPr>
                <w:rFonts w:hint="eastAsia" w:ascii="Times New Roman" w:hAnsi="Times New Roman" w:eastAsia="宋体" w:cs="Times New Roman"/>
                <w:lang w:val="de-DE"/>
              </w:rPr>
            </w:pPr>
            <w:r>
              <w:rPr>
                <w:rFonts w:hint="eastAsia"/>
                <w:lang w:eastAsia="zh-CN"/>
              </w:rPr>
              <w:t>☑</w:t>
            </w:r>
            <w:r>
              <w:rPr>
                <w:rFonts w:hint="eastAsia" w:ascii="Times New Roman" w:hAnsi="Times New Roman" w:eastAsia="宋体" w:cs="Times New Roman"/>
                <w:lang w:val="de-DE"/>
              </w:rPr>
              <w:t xml:space="preserve">受审核方管理体系成文信息(手册版本号： </w:t>
            </w:r>
            <w:r>
              <w:rPr>
                <w:rFonts w:hint="eastAsia" w:ascii="Times New Roman" w:hAnsi="Times New Roman" w:eastAsia="宋体" w:cs="Times New Roman"/>
                <w:lang w:val="en-US" w:eastAsia="zh-CN"/>
              </w:rPr>
              <w:t>A/0</w:t>
            </w:r>
            <w:r>
              <w:rPr>
                <w:rFonts w:hint="eastAsia" w:ascii="Times New Roman" w:hAnsi="Times New Roman" w:eastAsia="宋体" w:cs="Times New Roman"/>
                <w:lang w:val="de-DE"/>
              </w:rPr>
              <w:t xml:space="preserve"> )      □顾客要求</w:t>
            </w:r>
          </w:p>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pPr>
            <w:r>
              <w:rPr>
                <w:rFonts w:hint="eastAsia"/>
                <w:lang w:eastAsia="zh-CN"/>
              </w:rPr>
              <w:t>☑</w:t>
            </w:r>
            <w:r>
              <w:rPr>
                <w:rFonts w:hint="eastAsia"/>
                <w:lang w:val="de-DE"/>
              </w:rPr>
              <w:t>适用于受审核方的法律法规及其他要求</w:t>
            </w:r>
            <w:r>
              <w:rPr>
                <w:rFonts w:hint="eastAsia"/>
              </w:rPr>
              <w:t xml:space="preserve">    </w:t>
            </w:r>
            <w:r>
              <w:rPr>
                <w:rFonts w:hint="eastAsia"/>
                <w:lang w:val="en-US" w:eastAsia="zh-CN"/>
              </w:rPr>
              <w:t xml:space="preserve">          </w:t>
            </w:r>
            <w:r>
              <w:rPr>
                <w:rFonts w:hint="eastAsia"/>
                <w:lang w:eastAsia="zh-CN"/>
              </w:rPr>
              <w:t>☑</w:t>
            </w:r>
            <w:r>
              <w:rPr>
                <w:rFonts w:hint="eastAsia"/>
                <w:lang w:val="de-DE"/>
              </w:rPr>
              <w:t>认证合同</w:t>
            </w:r>
            <w:bookmarkStart w:id="11" w:name="审核依据"/>
            <w:r>
              <w:rPr>
                <w:rFonts w:hint="eastAsia" w:ascii="宋体" w:hAnsi="宋体"/>
                <w:b/>
                <w:sz w:val="21"/>
                <w:szCs w:val="21"/>
                <w:lang w:val="en-US" w:eastAsia="zh-CN"/>
              </w:rPr>
              <w:t xml:space="preserve">     </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1009" w:type="dxa"/>
            <w:vAlign w:val="center"/>
          </w:tcPr>
          <w:p>
            <w:r>
              <w:rPr>
                <w:rFonts w:hint="eastAsia"/>
              </w:rPr>
              <w:t>体系</w:t>
            </w:r>
          </w:p>
        </w:tc>
        <w:tc>
          <w:tcPr>
            <w:tcW w:w="4616" w:type="dxa"/>
            <w:gridSpan w:val="2"/>
            <w:vAlign w:val="center"/>
          </w:tcPr>
          <w:p/>
        </w:tc>
        <w:tc>
          <w:tcPr>
            <w:tcW w:w="3268"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QMS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EcMS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EMS</w:t>
            </w:r>
          </w:p>
        </w:tc>
        <w:tc>
          <w:tcPr>
            <w:tcW w:w="4616" w:type="dxa"/>
            <w:gridSpan w:val="2"/>
            <w:vAlign w:val="center"/>
          </w:tcPr>
          <w:p>
            <w:pPr>
              <w:tabs>
                <w:tab w:val="center" w:pos="4153"/>
                <w:tab w:val="right" w:pos="8306"/>
              </w:tabs>
              <w:snapToGrid w:val="0"/>
              <w:spacing w:line="300" w:lineRule="auto"/>
              <w:ind w:left="116" w:leftChars="-45" w:hanging="210" w:hangingChars="100"/>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OHSMS</w:t>
            </w:r>
          </w:p>
        </w:tc>
        <w:tc>
          <w:tcPr>
            <w:tcW w:w="4616" w:type="dxa"/>
            <w:gridSpan w:val="2"/>
            <w:vAlign w:val="center"/>
          </w:tcPr>
          <w:p>
            <w:pPr>
              <w:tabs>
                <w:tab w:val="center" w:pos="4153"/>
                <w:tab w:val="right" w:pos="8306"/>
              </w:tabs>
              <w:snapToGrid w:val="0"/>
              <w:spacing w:line="300" w:lineRule="auto"/>
              <w:ind w:left="116" w:leftChars="-45" w:hanging="210" w:hangingChars="100"/>
              <w:rPr>
                <w:rFonts w:ascii="Times New Roman" w:hAnsi="Times New Roman" w:eastAsia="宋体" w:cs="Times New Roman"/>
                <w:kern w:val="2"/>
                <w:sz w:val="21"/>
                <w:szCs w:val="24"/>
                <w:lang w:val="en-US" w:eastAsia="zh-CN" w:bidi="ar-SA"/>
              </w:rPr>
            </w:p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highlight w:val="none"/>
              </w:rPr>
              <w:t>EnMS</w:t>
            </w:r>
          </w:p>
        </w:tc>
        <w:tc>
          <w:tcPr>
            <w:tcW w:w="4616" w:type="dxa"/>
            <w:gridSpan w:val="2"/>
            <w:vAlign w:val="center"/>
          </w:tcPr>
          <w:p>
            <w:pPr>
              <w:tabs>
                <w:tab w:val="center" w:pos="4153"/>
                <w:tab w:val="right" w:pos="8306"/>
              </w:tabs>
              <w:snapToGrid w:val="0"/>
              <w:spacing w:line="300" w:lineRule="auto"/>
              <w:ind w:left="107" w:leftChars="-45" w:hanging="201" w:hangingChars="100"/>
            </w:pPr>
            <w:bookmarkStart w:id="12" w:name="审核范围"/>
            <w:r>
              <w:rPr>
                <w:rFonts w:ascii="宋体" w:hAnsi="宋体"/>
                <w:b/>
                <w:color w:val="000000"/>
                <w:sz w:val="20"/>
                <w:szCs w:val="20"/>
              </w:rPr>
              <w:t>粉煤灰蒸压加气混凝土砌块的生产及销售</w:t>
            </w:r>
            <w:bookmarkEnd w:id="12"/>
          </w:p>
        </w:tc>
        <w:tc>
          <w:tcPr>
            <w:tcW w:w="3268" w:type="dxa"/>
            <w:gridSpan w:val="2"/>
            <w:vAlign w:val="center"/>
          </w:tcPr>
          <w:p>
            <w:pPr>
              <w:rPr>
                <w:rFonts w:hint="default" w:eastAsia="宋体"/>
                <w:lang w:val="en-US" w:eastAsia="zh-CN"/>
              </w:rPr>
            </w:pPr>
            <w:r>
              <w:rPr>
                <w:rFonts w:hint="eastAsia"/>
                <w:lang w:val="en-US" w:eastAsia="zh-CN"/>
              </w:rPr>
              <w:t>En：2.4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FSMS</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tc>
        <w:tc>
          <w:tcPr>
            <w:tcW w:w="1009" w:type="dxa"/>
            <w:vAlign w:val="center"/>
          </w:tcPr>
          <w:p>
            <w:r>
              <w:rPr>
                <w:rFonts w:hint="eastAsia"/>
              </w:rPr>
              <w:t>HACCP</w:t>
            </w:r>
          </w:p>
        </w:tc>
        <w:tc>
          <w:tcPr>
            <w:tcW w:w="4616" w:type="dxa"/>
            <w:gridSpan w:val="2"/>
            <w:vAlign w:val="center"/>
          </w:tcPr>
          <w:p/>
        </w:tc>
        <w:tc>
          <w:tcPr>
            <w:tcW w:w="3268"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84" w:type="dxa"/>
            <w:gridSpan w:val="4"/>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84"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体系文件实施时间</w:t>
            </w:r>
          </w:p>
        </w:tc>
        <w:tc>
          <w:tcPr>
            <w:tcW w:w="2733" w:type="dxa"/>
            <w:vAlign w:val="top"/>
          </w:tcPr>
          <w:p>
            <w:pPr>
              <w:rPr>
                <w:rFonts w:hint="default" w:eastAsia="宋体"/>
                <w:lang w:val="en-US" w:eastAsia="zh-CN"/>
              </w:rPr>
            </w:pPr>
            <w:r>
              <w:rPr>
                <w:rFonts w:hint="eastAsia"/>
              </w:rPr>
              <w:t xml:space="preserve">  </w:t>
            </w:r>
            <w:r>
              <w:rPr>
                <w:rFonts w:hint="eastAsia"/>
                <w:lang w:val="en-US" w:eastAsia="zh-CN"/>
              </w:rPr>
              <w:t>2020</w:t>
            </w:r>
            <w:r>
              <w:rPr>
                <w:rFonts w:hint="eastAsia"/>
              </w:rPr>
              <w:t xml:space="preserve">年 </w:t>
            </w:r>
            <w:r>
              <w:rPr>
                <w:rFonts w:hint="eastAsia"/>
                <w:lang w:val="en-US" w:eastAsia="zh-CN"/>
              </w:rPr>
              <w:t>01</w:t>
            </w:r>
            <w:r>
              <w:rPr>
                <w:rFonts w:hint="eastAsia"/>
              </w:rPr>
              <w:t>月</w:t>
            </w:r>
            <w:r>
              <w:rPr>
                <w:rFonts w:hint="eastAsia"/>
                <w:lang w:val="en-US" w:eastAsia="zh-CN"/>
              </w:rPr>
              <w:t>21</w:t>
            </w:r>
            <w:r>
              <w:rPr>
                <w:rFonts w:hint="eastAsia"/>
              </w:rPr>
              <w:t>日</w:t>
            </w:r>
            <w:r>
              <w:rPr>
                <w:rFonts w:hint="eastAsia"/>
                <w:lang w:val="en-US" w:eastAsia="zh-CN"/>
              </w:rPr>
              <w:t>能源管理体系实施</w:t>
            </w:r>
          </w:p>
          <w:p>
            <w:pPr>
              <w:rPr>
                <w:rFonts w:ascii="Times New Roman" w:hAnsi="Times New Roman" w:eastAsia="宋体" w:cs="Times New Roman"/>
                <w:kern w:val="2"/>
                <w:sz w:val="21"/>
                <w:szCs w:val="24"/>
                <w:lang w:val="en-US" w:eastAsia="zh-CN" w:bidi="ar-SA"/>
              </w:rPr>
            </w:pPr>
          </w:p>
        </w:tc>
        <w:tc>
          <w:tcPr>
            <w:tcW w:w="1883" w:type="dxa"/>
            <w:vAlign w:val="center"/>
          </w:tcPr>
          <w:p>
            <w:pPr>
              <w:rPr>
                <w:rFonts w:hint="eastAsia"/>
                <w:highlight w:val="yellow"/>
              </w:rPr>
            </w:pPr>
            <w:r>
              <w:rPr>
                <w:rFonts w:hint="eastAsia"/>
                <w:highlight w:val="none"/>
              </w:rPr>
              <w:t>能源管理体系运行已超过6个月</w:t>
            </w:r>
          </w:p>
        </w:tc>
        <w:tc>
          <w:tcPr>
            <w:tcW w:w="3268" w:type="dxa"/>
            <w:gridSpan w:val="2"/>
            <w:vAlign w:val="center"/>
          </w:tcPr>
          <w:p>
            <w:pPr>
              <w:rPr>
                <w:rFonts w:hint="eastAsia" w:ascii="Times New Roman" w:hAnsi="Times New Roman" w:eastAsia="宋体" w:cs="Times New Roman"/>
                <w:kern w:val="2"/>
                <w:sz w:val="21"/>
                <w:szCs w:val="24"/>
                <w:lang w:val="en-US" w:eastAsia="zh-CN" w:bidi="ar-SA"/>
              </w:rPr>
            </w:pPr>
            <w:r>
              <w:rPr>
                <w:rFonts w:hint="eastAsia"/>
              </w:rPr>
              <w:t xml:space="preserve"> </w:t>
            </w:r>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68" w:type="dxa"/>
            <w:gridSpan w:val="2"/>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608"/>
        <w:gridCol w:w="1164"/>
        <w:gridCol w:w="572"/>
        <w:gridCol w:w="2764"/>
        <w:gridCol w:w="14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608" w:type="dxa"/>
            <w:shd w:val="clear" w:color="auto" w:fill="F3F3F3"/>
            <w:tcMar>
              <w:left w:w="57" w:type="dxa"/>
              <w:right w:w="57" w:type="dxa"/>
            </w:tcMar>
          </w:tcPr>
          <w:p>
            <w:r>
              <w:rPr>
                <w:rFonts w:hint="eastAsia"/>
              </w:rPr>
              <w:t>组织名称及注册场所地址</w:t>
            </w:r>
          </w:p>
        </w:tc>
        <w:tc>
          <w:tcPr>
            <w:tcW w:w="1164" w:type="dxa"/>
            <w:shd w:val="clear" w:color="auto" w:fill="F3F3F3"/>
          </w:tcPr>
          <w:p>
            <w:r>
              <w:rPr>
                <w:rFonts w:hint="eastAsia"/>
              </w:rPr>
              <w:t>经营场所的地址</w:t>
            </w:r>
          </w:p>
          <w:p>
            <w:r>
              <w:rPr>
                <w:rFonts w:hint="eastAsia"/>
              </w:rPr>
              <w:t>（多现场和临时现场）</w:t>
            </w:r>
          </w:p>
        </w:tc>
        <w:tc>
          <w:tcPr>
            <w:tcW w:w="572" w:type="dxa"/>
            <w:shd w:val="clear" w:color="auto" w:fill="F3F3F3"/>
            <w:tcMar>
              <w:left w:w="57" w:type="dxa"/>
              <w:right w:w="57" w:type="dxa"/>
            </w:tcMar>
          </w:tcPr>
          <w:p>
            <w:r>
              <w:rPr>
                <w:rFonts w:hint="eastAsia"/>
              </w:rPr>
              <w:t>员工人数</w:t>
            </w:r>
          </w:p>
        </w:tc>
        <w:tc>
          <w:tcPr>
            <w:tcW w:w="2764"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14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608" w:type="dxa"/>
          </w:tcPr>
          <w:p>
            <w:pPr>
              <w:rPr>
                <w:rFonts w:hint="eastAsia" w:eastAsia="宋体"/>
                <w:lang w:val="en-US" w:eastAsia="zh-CN"/>
              </w:rPr>
            </w:pPr>
            <w:bookmarkStart w:id="13" w:name="组织名称Add2"/>
            <w:r>
              <w:rPr>
                <w:rFonts w:ascii="宋体"/>
                <w:b w:val="0"/>
                <w:bCs/>
                <w:color w:val="000000"/>
                <w:sz w:val="20"/>
                <w:szCs w:val="20"/>
              </w:rPr>
              <w:t>襄阳华壁新型建材有限公司</w:t>
            </w:r>
            <w:bookmarkEnd w:id="13"/>
            <w:r>
              <w:rPr>
                <w:rFonts w:hint="eastAsia"/>
                <w:b w:val="0"/>
                <w:bCs/>
                <w:sz w:val="21"/>
                <w:szCs w:val="21"/>
                <w:lang w:val="en-US" w:eastAsia="zh-CN"/>
              </w:rPr>
              <w:t>/</w:t>
            </w:r>
            <w:r>
              <w:rPr>
                <w:rFonts w:ascii="宋体"/>
                <w:b w:val="0"/>
                <w:bCs/>
                <w:color w:val="000000"/>
                <w:sz w:val="20"/>
                <w:szCs w:val="20"/>
              </w:rPr>
              <w:t>襄阳市襄城区经济开发区8号路</w:t>
            </w:r>
          </w:p>
        </w:tc>
        <w:tc>
          <w:tcPr>
            <w:tcW w:w="1164" w:type="dxa"/>
          </w:tcPr>
          <w:p>
            <w:pPr>
              <w:rPr>
                <w:rFonts w:hint="eastAsia" w:eastAsia="宋体"/>
                <w:lang w:val="de-DE" w:eastAsia="zh-CN"/>
              </w:rPr>
            </w:pPr>
            <w:r>
              <w:rPr>
                <w:rFonts w:hint="eastAsia"/>
                <w:lang w:val="de-DE" w:eastAsia="zh-CN"/>
              </w:rPr>
              <w:t>——</w:t>
            </w:r>
          </w:p>
        </w:tc>
        <w:tc>
          <w:tcPr>
            <w:tcW w:w="572" w:type="dxa"/>
            <w:vAlign w:val="center"/>
          </w:tcPr>
          <w:p>
            <w:pPr>
              <w:rPr>
                <w:rFonts w:hint="default" w:eastAsia="宋体"/>
                <w:lang w:val="en-US" w:eastAsia="zh-CN"/>
              </w:rPr>
            </w:pPr>
            <w:r>
              <w:rPr>
                <w:rFonts w:hint="eastAsia"/>
                <w:lang w:val="en-US" w:eastAsia="zh-CN"/>
              </w:rPr>
              <w:t>60</w:t>
            </w:r>
          </w:p>
        </w:tc>
        <w:tc>
          <w:tcPr>
            <w:tcW w:w="2764" w:type="dxa"/>
            <w:vAlign w:val="center"/>
          </w:tcPr>
          <w:p>
            <w:pPr>
              <w:tabs>
                <w:tab w:val="center" w:pos="4153"/>
                <w:tab w:val="right" w:pos="8306"/>
              </w:tabs>
              <w:snapToGrid w:val="0"/>
              <w:spacing w:line="300" w:lineRule="auto"/>
              <w:ind w:left="106" w:leftChars="-45" w:hanging="200" w:hangingChars="100"/>
              <w:rPr>
                <w:lang w:eastAsia="ja-JP"/>
              </w:rPr>
            </w:pPr>
            <w:r>
              <w:rPr>
                <w:rFonts w:ascii="宋体"/>
                <w:b w:val="0"/>
                <w:bCs/>
                <w:color w:val="000000"/>
                <w:sz w:val="20"/>
                <w:szCs w:val="20"/>
              </w:rPr>
              <w:t>粉煤灰蒸压加气混凝土砌块的生产及销售</w:t>
            </w:r>
          </w:p>
        </w:tc>
        <w:tc>
          <w:tcPr>
            <w:tcW w:w="1469" w:type="dxa"/>
            <w:vAlign w:val="center"/>
          </w:tcPr>
          <w:p>
            <w:pPr>
              <w:jc w:val="left"/>
              <w:rPr>
                <w:lang w:eastAsia="ja-JP"/>
              </w:rPr>
            </w:pPr>
            <w:r>
              <w:rPr>
                <w:rFonts w:hint="eastAsia" w:ascii="Times New Roman" w:hAnsi="Times New Roman" w:eastAsia="宋体" w:cs="Times New Roman"/>
                <w:lang w:val="de-DE"/>
              </w:rPr>
              <w:t>GB/T23331-20</w:t>
            </w:r>
            <w:r>
              <w:rPr>
                <w:rFonts w:hint="eastAsia" w:ascii="Times New Roman" w:hAnsi="Times New Roman" w:eastAsia="宋体" w:cs="Times New Roman"/>
                <w:lang w:val="en-US" w:eastAsia="zh-CN"/>
              </w:rPr>
              <w:t>20</w:t>
            </w:r>
            <w:r>
              <w:rPr>
                <w:rFonts w:hint="eastAsia" w:ascii="Times New Roman" w:hAnsi="Times New Roman" w:eastAsia="宋体" w:cs="Times New Roman"/>
                <w:lang w:val="de-DE"/>
              </w:rPr>
              <w:t>/ISO50001:201</w:t>
            </w:r>
            <w:r>
              <w:rPr>
                <w:rFonts w:hint="eastAsia" w:ascii="Times New Roman" w:hAnsi="Times New Roman" w:eastAsia="宋体" w:cs="Times New Roman"/>
                <w:lang w:val="en-US" w:eastAsia="zh-CN"/>
              </w:rPr>
              <w:t xml:space="preserve">8       </w:t>
            </w:r>
          </w:p>
        </w:tc>
        <w:sdt>
          <w:sdtPr>
            <w:id w:val="271604670"/>
          </w:sdtPr>
          <w:sdtContent>
            <w:tc>
              <w:tcPr>
                <w:tcW w:w="668" w:type="dxa"/>
                <w:shd w:val="clear" w:color="auto" w:fill="FFFFFF"/>
              </w:tcPr>
              <w:p>
                <w:r>
                  <w:rPr>
                    <w:rFonts w:hint="eastAsia" w:ascii="宋体" w:hAnsi="宋体" w:eastAsia="宋体" w:cs="宋体"/>
                  </w:rPr>
                  <w:t>■</w:t>
                </w:r>
              </w:p>
            </w:tc>
          </w:sdtContent>
        </w:sdt>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w:t>
            </w:r>
            <w:r>
              <w:rPr>
                <w:rFonts w:hint="eastAsia"/>
              </w:rPr>
              <w:sym w:font="Wingdings 2" w:char="0052"/>
            </w:r>
            <w:r>
              <w:rPr>
                <w:rFonts w:hint="eastAsia"/>
              </w:rPr>
              <w:t xml:space="preserve">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pPr>
              <w:rPr>
                <w:rFonts w:hint="default" w:eastAsia="宋体"/>
                <w:lang w:val="en-US" w:eastAsia="zh-CN"/>
              </w:rPr>
            </w:pPr>
            <w:r>
              <w:rPr>
                <w:rFonts w:hint="eastAsia"/>
                <w:lang w:val="en-US" w:eastAsia="zh-CN"/>
              </w:rPr>
              <w:t>企业体系人数变化</w:t>
            </w: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4197"/>
        <w:gridCol w:w="1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4197" w:type="dxa"/>
            <w:vAlign w:val="center"/>
          </w:tcPr>
          <w:p>
            <w:r>
              <w:rPr>
                <w:rFonts w:hint="eastAsia"/>
              </w:rPr>
              <w:t>审核员注册证书号</w:t>
            </w:r>
          </w:p>
        </w:tc>
        <w:tc>
          <w:tcPr>
            <w:tcW w:w="1852"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napToGrid w:val="0"/>
              <w:spacing w:line="320" w:lineRule="exact"/>
              <w:ind w:firstLine="110" w:firstLineChars="50"/>
              <w:rPr>
                <w:rFonts w:hint="eastAsia" w:eastAsia="宋体"/>
                <w:lang w:val="en-US" w:eastAsia="zh-CN"/>
              </w:rPr>
            </w:pPr>
            <w:r>
              <w:rPr>
                <w:sz w:val="22"/>
                <w:szCs w:val="22"/>
                <w:highlight w:val="yellow"/>
              </w:rPr>
              <w:t>周涛</w:t>
            </w:r>
          </w:p>
        </w:tc>
        <w:tc>
          <w:tcPr>
            <w:tcW w:w="1089" w:type="dxa"/>
            <w:vAlign w:val="center"/>
          </w:tcPr>
          <w:p>
            <w:pPr>
              <w:snapToGrid w:val="0"/>
              <w:spacing w:line="320" w:lineRule="exact"/>
            </w:pPr>
            <w:r>
              <w:rPr>
                <w:sz w:val="22"/>
                <w:szCs w:val="22"/>
                <w:highlight w:val="none"/>
              </w:rPr>
              <w:t>组长</w:t>
            </w:r>
          </w:p>
        </w:tc>
        <w:tc>
          <w:tcPr>
            <w:tcW w:w="711" w:type="dxa"/>
            <w:vAlign w:val="center"/>
          </w:tcPr>
          <w:p>
            <w:pPr>
              <w:rPr>
                <w:rFonts w:hint="eastAsia" w:eastAsia="宋体"/>
                <w:lang w:val="en-US" w:eastAsia="zh-CN"/>
              </w:rPr>
            </w:pPr>
            <w:r>
              <w:rPr>
                <w:rFonts w:hint="eastAsia"/>
                <w:lang w:val="en-US" w:eastAsia="zh-CN"/>
              </w:rPr>
              <w:t>男</w:t>
            </w:r>
          </w:p>
        </w:tc>
        <w:tc>
          <w:tcPr>
            <w:tcW w:w="4197" w:type="dxa"/>
            <w:vAlign w:val="center"/>
          </w:tcPr>
          <w:p>
            <w:pPr>
              <w:snapToGrid w:val="0"/>
              <w:spacing w:line="320" w:lineRule="exact"/>
              <w:rPr>
                <w:rFonts w:hint="eastAsia"/>
              </w:rPr>
            </w:pPr>
            <w:r>
              <w:rPr>
                <w:sz w:val="22"/>
                <w:szCs w:val="22"/>
                <w:highlight w:val="yellow"/>
              </w:rPr>
              <w:t>2018-N1EnMS-1072033</w:t>
            </w:r>
          </w:p>
        </w:tc>
        <w:tc>
          <w:tcPr>
            <w:tcW w:w="1852" w:type="dxa"/>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napToGrid w:val="0"/>
              <w:spacing w:line="320" w:lineRule="exact"/>
              <w:ind w:firstLine="110" w:firstLineChars="50"/>
              <w:rPr>
                <w:rFonts w:hint="eastAsia"/>
                <w:lang w:val="en-US" w:eastAsia="zh-CN"/>
              </w:rPr>
            </w:pPr>
            <w:r>
              <w:rPr>
                <w:sz w:val="22"/>
                <w:szCs w:val="22"/>
                <w:highlight w:val="yellow"/>
              </w:rPr>
              <w:t>姜小清</w:t>
            </w:r>
          </w:p>
        </w:tc>
        <w:tc>
          <w:tcPr>
            <w:tcW w:w="1089" w:type="dxa"/>
            <w:vAlign w:val="center"/>
          </w:tcPr>
          <w:p>
            <w:pPr>
              <w:snapToGrid w:val="0"/>
              <w:spacing w:line="320" w:lineRule="exact"/>
              <w:rPr>
                <w:rFonts w:hint="eastAsia"/>
              </w:rPr>
            </w:pPr>
            <w:r>
              <w:rPr>
                <w:sz w:val="22"/>
                <w:szCs w:val="22"/>
                <w:highlight w:val="none"/>
              </w:rPr>
              <w:t>组员</w:t>
            </w:r>
          </w:p>
        </w:tc>
        <w:tc>
          <w:tcPr>
            <w:tcW w:w="711" w:type="dxa"/>
            <w:vAlign w:val="center"/>
          </w:tcPr>
          <w:p>
            <w:pPr>
              <w:rPr>
                <w:rFonts w:hint="default"/>
                <w:lang w:val="en-US" w:eastAsia="zh-CN"/>
              </w:rPr>
            </w:pPr>
            <w:r>
              <w:rPr>
                <w:rFonts w:hint="eastAsia"/>
                <w:lang w:val="en-US" w:eastAsia="zh-CN"/>
              </w:rPr>
              <w:t>男</w:t>
            </w:r>
          </w:p>
        </w:tc>
        <w:tc>
          <w:tcPr>
            <w:tcW w:w="4197" w:type="dxa"/>
            <w:vAlign w:val="center"/>
          </w:tcPr>
          <w:p>
            <w:pPr>
              <w:snapToGrid w:val="0"/>
              <w:spacing w:line="320" w:lineRule="exact"/>
              <w:rPr>
                <w:rFonts w:hint="eastAsia"/>
              </w:rPr>
            </w:pPr>
            <w:r>
              <w:rPr>
                <w:sz w:val="22"/>
                <w:szCs w:val="22"/>
                <w:highlight w:val="yellow"/>
              </w:rPr>
              <w:t>2018-N1EnMS-1201919</w:t>
            </w:r>
          </w:p>
        </w:tc>
        <w:tc>
          <w:tcPr>
            <w:tcW w:w="1852"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r>
              <w:rPr>
                <w:sz w:val="22"/>
                <w:szCs w:val="22"/>
                <w:highlight w:val="yellow"/>
              </w:rPr>
              <w:t>潘荣君</w:t>
            </w:r>
          </w:p>
        </w:tc>
        <w:tc>
          <w:tcPr>
            <w:tcW w:w="1089" w:type="dxa"/>
            <w:vAlign w:val="center"/>
          </w:tcPr>
          <w:p>
            <w:r>
              <w:rPr>
                <w:rFonts w:hint="eastAsia"/>
              </w:rPr>
              <w:t>技术专家</w:t>
            </w:r>
          </w:p>
        </w:tc>
        <w:tc>
          <w:tcPr>
            <w:tcW w:w="711" w:type="dxa"/>
            <w:vAlign w:val="center"/>
          </w:tcPr>
          <w:p>
            <w:r>
              <w:rPr>
                <w:rFonts w:hint="eastAsia"/>
                <w:lang w:val="en-US" w:eastAsia="zh-CN"/>
              </w:rPr>
              <w:t>男</w:t>
            </w:r>
          </w:p>
        </w:tc>
        <w:tc>
          <w:tcPr>
            <w:tcW w:w="4197" w:type="dxa"/>
            <w:vAlign w:val="center"/>
          </w:tcPr>
          <w:p>
            <w:pPr>
              <w:snapToGrid w:val="0"/>
              <w:spacing w:line="320" w:lineRule="exact"/>
            </w:pPr>
            <w:r>
              <w:rPr>
                <w:sz w:val="22"/>
                <w:szCs w:val="22"/>
                <w:highlight w:val="yellow"/>
              </w:rPr>
              <w:t>ISC-JSZJ-208洪湖市鼎固商砼有限公司</w:t>
            </w:r>
          </w:p>
        </w:tc>
        <w:tc>
          <w:tcPr>
            <w:tcW w:w="1852" w:type="dxa"/>
            <w:vAlign w:val="center"/>
          </w:tcPr>
          <w:p>
            <w:pPr>
              <w:ind w:firstLine="840" w:firstLineChars="400"/>
              <w:rPr>
                <w:rFonts w:hint="default" w:eastAsia="宋体"/>
                <w:lang w:val="en-US" w:eastAsia="zh-CN"/>
              </w:rPr>
            </w:pPr>
            <w:r>
              <w:rPr>
                <w:rFonts w:hint="eastAsia"/>
                <w:lang w:val="en-US" w:eastAsia="zh-CN"/>
              </w:rPr>
              <w:t>En2.4</w:t>
            </w:r>
          </w:p>
        </w:tc>
      </w:tr>
    </w:tbl>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default" w:eastAsia="宋体"/>
                <w:lang w:val="en-US" w:eastAsia="zh-CN"/>
              </w:rPr>
            </w:pPr>
            <w:r>
              <w:rPr>
                <w:rFonts w:hint="eastAsia"/>
                <w:lang w:val="en-US" w:eastAsia="zh-CN"/>
              </w:rPr>
              <w:t>增加一个固定多场所；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 </w:t>
      </w:r>
      <w:r>
        <w:rPr>
          <w:rFonts w:hint="eastAsia"/>
          <w:lang w:eastAsia="zh-CN"/>
        </w:rPr>
        <w:t>☑</w:t>
      </w:r>
      <w:r>
        <w:rPr>
          <w:rFonts w:hint="eastAsia"/>
          <w:highlight w:val="none"/>
        </w:rPr>
        <w:t>EnMS</w:t>
      </w:r>
      <w:r>
        <w:rPr>
          <w:rFonts w:hint="eastAsia"/>
        </w:rPr>
        <w:t>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w:t>
      </w:r>
      <w:r>
        <w:rPr>
          <w:rFonts w:hint="eastAsia"/>
          <w:highlight w:val="none"/>
        </w:rPr>
        <w:t>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default"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default" w:eastAsia="宋体"/>
                <w:lang w:val="en-US" w:eastAsia="zh-CN"/>
              </w:rPr>
            </w:pPr>
          </w:p>
        </w:tc>
        <w:tc>
          <w:tcPr>
            <w:tcW w:w="1717" w:type="dxa"/>
          </w:tc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default" w:eastAsia="宋体"/>
                <w:highlight w:val="none"/>
                <w:lang w:val="en-US" w:eastAsia="zh-CN"/>
              </w:rPr>
            </w:pPr>
          </w:p>
        </w:tc>
        <w:tc>
          <w:tcPr>
            <w:tcW w:w="1717" w:type="dxa"/>
          </w:tcPr>
          <w:p>
            <w:pPr>
              <w:rPr>
                <w:highlight w:val="yellow"/>
              </w:rPr>
            </w:pPr>
          </w:p>
        </w:tc>
        <w:tc>
          <w:tcPr>
            <w:tcW w:w="1560" w:type="dxa"/>
          </w:tcPr>
          <w:p>
            <w:pPr>
              <w:rPr>
                <w:rFonts w:hint="default" w:eastAsia="宋体"/>
                <w:lang w:val="en-US" w:eastAsia="zh-CN"/>
              </w:rPr>
            </w:p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yellow"/>
              </w:rPr>
            </w:pPr>
            <w:r>
              <w:rPr>
                <w:rFonts w:hint="eastAsia"/>
                <w:highlight w:val="none"/>
              </w:rPr>
              <w:t>EnMS</w:t>
            </w:r>
          </w:p>
        </w:tc>
        <w:tc>
          <w:tcPr>
            <w:tcW w:w="1698" w:type="dxa"/>
          </w:tcPr>
          <w:p>
            <w:pPr>
              <w:rPr>
                <w:rFonts w:hint="default"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shd w:val="clear" w:color="auto" w:fill="auto"/>
          </w:tcPr>
          <w:p>
            <w:r>
              <w:rPr>
                <w:rFonts w:hint="eastAsia"/>
              </w:rPr>
              <w:t>推荐内容</w:t>
            </w:r>
          </w:p>
        </w:tc>
        <w:tc>
          <w:tcPr>
            <w:tcW w:w="8506"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r>
              <w:rPr>
                <w:rFonts w:hint="eastAsia"/>
              </w:rPr>
              <w:t>管理体系评价</w:t>
            </w:r>
          </w:p>
        </w:tc>
        <w:tc>
          <w:tcPr>
            <w:tcW w:w="8506" w:type="dxa"/>
            <w:gridSpan w:val="4"/>
            <w:shd w:val="clear" w:color="auto" w:fill="auto"/>
          </w:tcPr>
          <w:p>
            <w:r>
              <w:rPr>
                <w:rFonts w:hint="eastAsia"/>
              </w:rPr>
              <w:t xml:space="preserve">□QMS 基本满足ISO9001:2015标准的要求，建立了自我完善机制，质量管理体系运行基本有效。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□EMS基本满足ISO14001:2015标准的要求，建立了自我完善机制，环境管理体系运行基本有效。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rPr>
              <w:t>□OHSMS基本满足ISO45001:2018标准的要求，建立了自我完善机制，职业健康安全管理体系运行基本有效。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highlight w:val="none"/>
              </w:rPr>
              <w:t>EnMS基本满足ISO50001:2018标准的要求，建立了自我完善机制，能源管理体系运行基本有效。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r>
              <w:rPr>
                <w:rFonts w:hint="eastAsia"/>
              </w:rPr>
              <w:t>对审核范围适宜性结论</w:t>
            </w:r>
          </w:p>
          <w:p/>
        </w:tc>
        <w:tc>
          <w:tcPr>
            <w:tcW w:w="8506" w:type="dxa"/>
            <w:gridSpan w:val="4"/>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tc>
        <w:tc>
          <w:tcPr>
            <w:tcW w:w="8506" w:type="dxa"/>
            <w:gridSpan w:val="4"/>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QMS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574" w:type="dxa"/>
            <w:vMerge w:val="continue"/>
            <w:shd w:val="clear" w:color="auto" w:fill="auto"/>
          </w:tcPr>
          <w:p/>
        </w:tc>
        <w:tc>
          <w:tcPr>
            <w:tcW w:w="1126" w:type="dxa"/>
            <w:shd w:val="clear" w:color="auto" w:fill="auto"/>
          </w:tcPr>
          <w:p>
            <w:r>
              <w:rPr>
                <w:rFonts w:hint="eastAsia"/>
              </w:rPr>
              <w:t>EcMS</w:t>
            </w:r>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74" w:type="dxa"/>
            <w:vMerge w:val="continue"/>
            <w:shd w:val="clear" w:color="auto" w:fill="auto"/>
          </w:tcPr>
          <w:p/>
        </w:tc>
        <w:tc>
          <w:tcPr>
            <w:tcW w:w="1126" w:type="dxa"/>
            <w:shd w:val="clear" w:color="auto" w:fill="auto"/>
          </w:tcPr>
          <w:p>
            <w:pPr>
              <w:rPr>
                <w:lang w:val="en-GB"/>
              </w:rPr>
            </w:pPr>
            <w:r>
              <w:rPr>
                <w:rFonts w:hint="eastAsia"/>
              </w:rPr>
              <w:t>EMS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lang w:val="en-GB"/>
              </w:rPr>
            </w:pPr>
            <w:r>
              <w:rPr>
                <w:rFonts w:hint="eastAsia"/>
              </w:rPr>
              <w:t>OHSMS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574" w:type="dxa"/>
            <w:vMerge w:val="continue"/>
            <w:shd w:val="clear" w:color="auto" w:fill="auto"/>
          </w:tcPr>
          <w:p/>
        </w:tc>
        <w:tc>
          <w:tcPr>
            <w:tcW w:w="1126" w:type="dxa"/>
            <w:shd w:val="clear" w:color="auto" w:fill="auto"/>
          </w:tcPr>
          <w:p>
            <w:pPr>
              <w:rPr>
                <w:highlight w:val="none"/>
                <w:lang w:val="en-GB"/>
              </w:rPr>
            </w:pPr>
            <w:r>
              <w:rPr>
                <w:rFonts w:hint="eastAsia"/>
                <w:highlight w:val="none"/>
              </w:rPr>
              <w:t>EnMS</w:t>
            </w:r>
          </w:p>
          <w:p/>
        </w:tc>
        <w:tc>
          <w:tcPr>
            <w:tcW w:w="7380" w:type="dxa"/>
            <w:gridSpan w:val="3"/>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574" w:type="dxa"/>
            <w:vMerge w:val="restart"/>
            <w:shd w:val="clear" w:color="auto" w:fill="auto"/>
          </w:tcPr>
          <w:p>
            <w:r>
              <w:rPr>
                <w:rFonts w:hint="eastAsia"/>
              </w:rPr>
              <w:t>审核组推荐意见</w:t>
            </w:r>
          </w:p>
          <w:p/>
        </w:tc>
        <w:tc>
          <w:tcPr>
            <w:tcW w:w="8506" w:type="dxa"/>
            <w:gridSpan w:val="4"/>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574" w:type="dxa"/>
            <w:vMerge w:val="continue"/>
            <w:shd w:val="clear" w:color="auto" w:fill="auto"/>
          </w:tcPr>
          <w:p/>
        </w:tc>
        <w:tc>
          <w:tcPr>
            <w:tcW w:w="8506" w:type="dxa"/>
            <w:gridSpan w:val="4"/>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tc>
        <w:tc>
          <w:tcPr>
            <w:tcW w:w="8506"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74" w:type="dxa"/>
            <w:vMerge w:val="continue"/>
            <w:shd w:val="clear" w:color="auto" w:fill="auto"/>
          </w:tcPr>
          <w:p/>
        </w:tc>
        <w:tc>
          <w:tcPr>
            <w:tcW w:w="8506"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74" w:type="dxa"/>
            <w:vMerge w:val="continue"/>
            <w:shd w:val="clear" w:color="auto" w:fill="auto"/>
          </w:tcPr>
          <w:p/>
        </w:tc>
        <w:tc>
          <w:tcPr>
            <w:tcW w:w="8506"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tc>
        <w:tc>
          <w:tcPr>
            <w:tcW w:w="8506"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574" w:type="dxa"/>
            <w:vMerge w:val="continue"/>
            <w:shd w:val="clear" w:color="auto" w:fill="auto"/>
          </w:tcPr>
          <w:p/>
        </w:tc>
        <w:tc>
          <w:tcPr>
            <w:tcW w:w="8506"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vMerge w:val="continue"/>
            <w:shd w:val="clear" w:color="auto" w:fill="auto"/>
          </w:tcPr>
          <w:p/>
        </w:tc>
        <w:tc>
          <w:tcPr>
            <w:tcW w:w="8506"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r>
              <w:rPr>
                <w:rFonts w:hint="eastAsia"/>
              </w:rPr>
              <w:t>审核组长签字</w:t>
            </w:r>
          </w:p>
        </w:tc>
        <w:tc>
          <w:tcPr>
            <w:tcW w:w="2835" w:type="dxa"/>
            <w:gridSpan w:val="2"/>
            <w:shd w:val="clear" w:color="auto" w:fill="auto"/>
          </w:tcPr>
          <w:p>
            <w:r>
              <w:rPr>
                <w:rFonts w:hint="eastAsia" w:ascii="宋体" w:hAnsi="宋体"/>
              </w:rPr>
              <w:drawing>
                <wp:anchor distT="0" distB="0" distL="114300" distR="114300" simplePos="0" relativeHeight="251659264" behindDoc="0" locked="0" layoutInCell="1" allowOverlap="1">
                  <wp:simplePos x="0" y="0"/>
                  <wp:positionH relativeFrom="column">
                    <wp:posOffset>444500</wp:posOffset>
                  </wp:positionH>
                  <wp:positionV relativeFrom="page">
                    <wp:posOffset>6350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p>
        </w:tc>
        <w:tc>
          <w:tcPr>
            <w:tcW w:w="2835" w:type="dxa"/>
            <w:shd w:val="clear" w:color="auto" w:fill="auto"/>
          </w:tcPr>
          <w:p>
            <w:pPr>
              <w:rPr>
                <w:rFonts w:hint="default" w:eastAsia="宋体"/>
                <w:lang w:val="en-US" w:eastAsia="zh-CN"/>
              </w:rPr>
            </w:pPr>
            <w:r>
              <w:rPr>
                <w:rFonts w:hint="eastAsia"/>
              </w:rPr>
              <w:t>日期</w:t>
            </w:r>
            <w:r>
              <w:rPr>
                <w:rFonts w:hint="eastAsia"/>
                <w:lang w:eastAsia="zh-CN"/>
              </w:rPr>
              <w:t>：</w:t>
            </w:r>
          </w:p>
        </w:tc>
        <w:tc>
          <w:tcPr>
            <w:tcW w:w="2836" w:type="dxa"/>
            <w:shd w:val="clear" w:color="auto" w:fill="auto"/>
          </w:tcPr>
          <w:p>
            <w:pPr>
              <w:rPr>
                <w:rFonts w:hint="default" w:eastAsia="宋体"/>
                <w:lang w:val="en-US" w:eastAsia="zh-CN"/>
              </w:rPr>
            </w:pPr>
            <w:r>
              <w:rPr>
                <w:rFonts w:hint="eastAsia"/>
                <w:lang w:val="en-US" w:eastAsia="zh-CN"/>
              </w:rPr>
              <w:t>2021.4.7</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tc>
      </w:tr>
    </w:tbl>
    <w:p/>
    <w:p>
      <w:r>
        <w:rPr>
          <w:rFonts w:hint="eastAsia"/>
        </w:rPr>
        <w:t>十四、认证评定与批准</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评价人</w:t>
            </w:r>
          </w:p>
        </w:tc>
        <w:tc>
          <w:tcPr>
            <w:tcW w:w="2834" w:type="dxa"/>
          </w:tcPr>
          <w:p>
            <w:r>
              <w:rPr>
                <w:rFonts w:hint="eastAsia"/>
              </w:rPr>
              <w:t>评价结论</w:t>
            </w:r>
          </w:p>
        </w:tc>
        <w:tc>
          <w:tcPr>
            <w:tcW w:w="2552" w:type="dxa"/>
          </w:tcPr>
          <w:p>
            <w:r>
              <w:rPr>
                <w:rFonts w:hint="eastAsia"/>
              </w:rPr>
              <w:t>评价人签字</w:t>
            </w:r>
          </w:p>
        </w:tc>
        <w:tc>
          <w:tcPr>
            <w:tcW w:w="2383" w:type="dxa"/>
          </w:tcPr>
          <w:p>
            <w:r>
              <w:rPr>
                <w:rFonts w:hint="eastAsia"/>
              </w:rPr>
              <w:t>评价日期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技术委员会</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与末次会议结论不同处的说明和其他说明：(技术委员会填写)</w:t>
            </w:r>
          </w:p>
        </w:tc>
        <w:tc>
          <w:tcPr>
            <w:tcW w:w="7769"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批准人</w:t>
            </w:r>
          </w:p>
        </w:tc>
        <w:tc>
          <w:tcPr>
            <w:tcW w:w="2834" w:type="dxa"/>
          </w:tcPr>
          <w:p>
            <w:r>
              <w:rPr>
                <w:rFonts w:hint="eastAsia"/>
              </w:rPr>
              <w:t>批准结论</w:t>
            </w:r>
          </w:p>
        </w:tc>
        <w:tc>
          <w:tcPr>
            <w:tcW w:w="2552" w:type="dxa"/>
          </w:tcPr>
          <w:p>
            <w:r>
              <w:rPr>
                <w:rFonts w:hint="eastAsia"/>
              </w:rPr>
              <w:t>批准人签字</w:t>
            </w:r>
          </w:p>
        </w:tc>
        <w:tc>
          <w:tcPr>
            <w:tcW w:w="2383" w:type="dxa"/>
          </w:tcPr>
          <w:p>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r>
              <w:rPr>
                <w:rFonts w:hint="eastAsia"/>
              </w:rPr>
              <w:t>总经理</w:t>
            </w:r>
          </w:p>
        </w:tc>
        <w:tc>
          <w:tcPr>
            <w:tcW w:w="2834" w:type="dxa"/>
          </w:tcPr>
          <w:p>
            <w:r>
              <w:rPr>
                <w:rFonts w:hint="eastAsia"/>
              </w:rPr>
              <w:t>□同意注册  □不同意注册</w:t>
            </w:r>
          </w:p>
        </w:tc>
        <w:tc>
          <w:tcPr>
            <w:tcW w:w="2552" w:type="dxa"/>
          </w:tcPr>
          <w:p/>
          <w:p/>
        </w:tc>
        <w:tc>
          <w:tcPr>
            <w:tcW w:w="2383" w:type="dxa"/>
          </w:tcPr>
          <w:p>
            <w:r>
              <w:rPr>
                <w:rFonts w:hint="eastAsia"/>
              </w:rPr>
              <w:t xml:space="preserve">      年   月    日</w:t>
            </w:r>
          </w:p>
        </w:tc>
      </w:tr>
    </w:tbl>
    <w:p/>
    <w:p>
      <w:r>
        <w:rPr>
          <w:rFonts w:hint="eastAsia"/>
        </w:rPr>
        <w:t>十五、审核报告的发放范围：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十六、附件</w:t>
      </w:r>
    </w:p>
    <w:p>
      <w:r>
        <w:t>1. 审核计划（含项目清单）</w:t>
      </w:r>
    </w:p>
    <w:p>
      <w:r>
        <w:t>2. 不符合报告/问题清单</w:t>
      </w:r>
    </w:p>
    <w:p>
      <w:r>
        <w:t xml:space="preserve">3. </w:t>
      </w:r>
      <w:r>
        <w:rPr>
          <w:rFonts w:hint="eastAsia"/>
        </w:rPr>
        <w:t>其他</w:t>
      </w:r>
    </w:p>
    <w:p/>
    <w:p>
      <w:r>
        <w:rPr>
          <w:rFonts w:hint="eastAsia"/>
        </w:rPr>
        <w:t>十七、填表说明：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w:t>
      </w:r>
      <w:r>
        <w:rPr>
          <w:rFonts w:hint="eastAsia"/>
          <w:highlight w:val="none"/>
        </w:rPr>
        <w:t>EnMS基本满足ISO50001:2018</w:t>
      </w:r>
      <w:r>
        <w:rPr>
          <w:rFonts w:hint="eastAsia"/>
        </w:rPr>
        <w:t>标准的要求，建立了自我完善机制，管理体系运行基本有效。）和审核类型（指：二阶段、再认证，在相应的□内划“√”；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
    <w:p/>
    <w:p/>
    <w:p/>
    <w:p/>
    <w:p>
      <w:pPr>
        <w:pStyle w:val="4"/>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hd w:val="clear" w:color="auto" w:fill="EBF1DE" w:themeFill="accent3" w:themeFillTint="32"/>
        <w:rPr>
          <w:highlight w:val="none"/>
        </w:rPr>
      </w:pPr>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w:t>
            </w:r>
            <w:r>
              <w:rPr>
                <w:rFonts w:hint="eastAsia" w:ascii="Times New Roman" w:hAnsi="Times New Roman" w:cs="Times New Roman"/>
                <w:color w:val="000000"/>
                <w:szCs w:val="18"/>
                <w:u w:val="single"/>
              </w:rPr>
              <w:t>遵守法规 清洁生产</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节能降耗</w:t>
            </w:r>
            <w:r>
              <w:rPr>
                <w:rFonts w:hint="eastAsia" w:ascii="Times New Roman" w:hAnsi="Times New Roman" w:cs="Times New Roman"/>
                <w:color w:val="000000"/>
                <w:szCs w:val="18"/>
                <w:u w:val="single"/>
              </w:rPr>
              <w:t xml:space="preserve"> 创新改造</w:t>
            </w:r>
            <w:r>
              <w:rPr>
                <w:rFonts w:hint="eastAsia" w:ascii="Times New Roman" w:hAnsi="Times New Roman" w:cs="Times New Roman"/>
                <w:color w:val="000000"/>
                <w:szCs w:val="18"/>
                <w:u w:val="single"/>
                <w:lang w:eastAsia="zh-CN"/>
              </w:rPr>
              <w:t>；</w:t>
            </w:r>
            <w:r>
              <w:rPr>
                <w:rFonts w:hint="eastAsia" w:ascii="Times New Roman" w:hAnsi="Times New Roman" w:cs="Times New Roman"/>
                <w:color w:val="000000"/>
                <w:szCs w:val="18"/>
                <w:u w:val="single"/>
                <w:lang w:val="en-US" w:eastAsia="zh-CN"/>
              </w:rPr>
              <w:t>能耗限额 持续改进；</w:t>
            </w:r>
            <w:r>
              <w:rPr>
                <w:rFonts w:hint="eastAsia" w:ascii="Times New Roman" w:hAnsi="Times New Roman" w:eastAsia="宋体" w:cs="Times New Roman"/>
                <w:highlight w:val="none"/>
                <w:u w:val="single"/>
              </w:rPr>
              <w:t xml:space="preserve">   </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综合部</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p>
              </w:tc>
              <w:tc>
                <w:tcPr>
                  <w:tcW w:w="3965" w:type="dxa"/>
                </w:tcPr>
                <w:p>
                  <w:pPr>
                    <w:shd w:val="clear" w:color="auto" w:fill="EBF1DE" w:themeFill="accent3" w:themeFillTint="32"/>
                    <w:rPr>
                      <w:highlight w:val="none"/>
                    </w:rPr>
                  </w:pPr>
                </w:p>
              </w:tc>
              <w:tc>
                <w:tcPr>
                  <w:tcW w:w="1717"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3"/>
              <w:gridCol w:w="2570"/>
              <w:gridCol w:w="1759"/>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3"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节能目标</w:t>
                  </w:r>
                </w:p>
              </w:tc>
              <w:tc>
                <w:tcPr>
                  <w:tcW w:w="257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75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649"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highlight w:val="none"/>
                    </w:rPr>
                  </w:pPr>
                  <w:r>
                    <w:rPr>
                      <w:rFonts w:hint="eastAsia"/>
                      <w:bCs/>
                      <w:szCs w:val="21"/>
                      <w:highlight w:val="none"/>
                    </w:rPr>
                    <w:t>单位产品综合能耗逐年降低</w:t>
                  </w:r>
                </w:p>
              </w:tc>
              <w:tc>
                <w:tcPr>
                  <w:tcW w:w="257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加强能源使用管理</w:t>
                  </w:r>
                </w:p>
              </w:tc>
              <w:tc>
                <w:tcPr>
                  <w:tcW w:w="1759"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3" w:type="dxa"/>
                  <w:shd w:val="clear" w:color="auto" w:fill="auto"/>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综合能耗</w:t>
                  </w:r>
                </w:p>
              </w:tc>
              <w:tc>
                <w:tcPr>
                  <w:tcW w:w="257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降低能源浪费，回收利用</w:t>
                  </w:r>
                </w:p>
              </w:tc>
              <w:tc>
                <w:tcPr>
                  <w:tcW w:w="1759" w:type="dxa"/>
                  <w:shd w:val="clear" w:color="auto" w:fill="auto"/>
                  <w:vAlign w:val="center"/>
                </w:tcPr>
                <w:p>
                  <w:pPr>
                    <w:shd w:val="clear" w:color="auto" w:fill="EBF1DE" w:themeFill="accent3" w:themeFillTint="32"/>
                    <w:rPr>
                      <w:rFonts w:ascii="宋体" w:hAnsi="宋体"/>
                      <w:highlight w:val="none"/>
                    </w:rPr>
                  </w:pPr>
                  <w:r>
                    <w:rPr>
                      <w:rFonts w:hint="eastAsia"/>
                      <w:highlight w:val="none"/>
                      <w:lang w:val="en-US" w:eastAsia="zh-CN"/>
                    </w:rPr>
                    <w:t>生产部/综合部</w:t>
                  </w:r>
                </w:p>
              </w:tc>
              <w:tc>
                <w:tcPr>
                  <w:tcW w:w="1649" w:type="dxa"/>
                  <w:shd w:val="clear" w:color="auto" w:fill="auto"/>
                  <w:vAlign w:val="center"/>
                </w:tcPr>
                <w:p>
                  <w:pPr>
                    <w:shd w:val="clear" w:color="auto" w:fill="EBF1DE" w:themeFill="accent3" w:themeFillTint="32"/>
                    <w:jc w:val="center"/>
                    <w:rPr>
                      <w:rFonts w:hint="eastAsia" w:ascii="宋体" w:hAnsi="宋体" w:eastAsia="宋体"/>
                      <w:highlight w:val="none"/>
                      <w:lang w:val="en-US" w:eastAsia="zh-CN"/>
                    </w:rPr>
                  </w:pPr>
                  <w:r>
                    <w:rPr>
                      <w:rFonts w:hint="eastAsia" w:ascii="宋体" w:hAnsi="宋体"/>
                      <w:highlight w:val="none"/>
                      <w:lang w:val="en-US" w:eastAsia="zh-CN"/>
                    </w:rPr>
                    <w:t>完成</w:t>
                  </w:r>
                </w:p>
              </w:tc>
            </w:tr>
          </w:tbl>
          <w:p>
            <w:pPr>
              <w:shd w:val="clear" w:color="auto" w:fill="EBF1DE" w:themeFill="accent3" w:themeFillTint="32"/>
              <w:rPr>
                <w:highlight w:val="none"/>
              </w:rPr>
            </w:pPr>
            <w:r>
              <w:rPr>
                <w:rFonts w:hint="eastAsia"/>
                <w:highlight w:val="none"/>
              </w:rPr>
              <w:sym w:font="Wingdings" w:char="00FE"/>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A8"/>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shd w:val="clear" w:color="auto" w:fill="EBF1DE" w:themeFill="accent3" w:themeFillTint="32"/>
              <w:rPr>
                <w:rFonts w:hint="eastAsia"/>
                <w:highlight w:val="none"/>
              </w:rPr>
            </w:pPr>
            <w:r>
              <w:rPr>
                <w:rFonts w:hint="eastAsia"/>
                <w:highlight w:val="none"/>
              </w:rPr>
              <w:t xml:space="preserve">建筑面积  </w:t>
            </w:r>
            <w:r>
              <w:rPr>
                <w:rFonts w:hint="eastAsia"/>
                <w:highlight w:val="none"/>
                <w:u w:val="single"/>
                <w:lang w:val="en-US" w:eastAsia="zh-CN"/>
              </w:rPr>
              <w:t>1.8</w:t>
            </w:r>
            <w:r>
              <w:rPr>
                <w:rFonts w:hint="eastAsia"/>
                <w:highlight w:val="none"/>
                <w:u w:val="single"/>
              </w:rPr>
              <w:t xml:space="preserve"> </w:t>
            </w:r>
            <w:r>
              <w:rPr>
                <w:rFonts w:hint="eastAsia"/>
                <w:highlight w:val="none"/>
                <w:lang w:val="en-US" w:eastAsia="zh-CN"/>
              </w:rPr>
              <w:t>万</w:t>
            </w:r>
            <w:r>
              <w:rPr>
                <w:rFonts w:hint="eastAsia"/>
                <w:highlight w:val="none"/>
              </w:rPr>
              <w:t xml:space="preserve"> 平方米；生产车间</w:t>
            </w:r>
            <w:r>
              <w:rPr>
                <w:rFonts w:hint="eastAsia"/>
                <w:highlight w:val="none"/>
                <w:u w:val="single"/>
              </w:rPr>
              <w:t xml:space="preserve"> </w:t>
            </w:r>
            <w:r>
              <w:rPr>
                <w:rFonts w:hint="eastAsia"/>
                <w:highlight w:val="none"/>
                <w:u w:val="single"/>
                <w:lang w:val="en-US" w:eastAsia="zh-CN"/>
              </w:rPr>
              <w:t>3</w:t>
            </w:r>
            <w:r>
              <w:rPr>
                <w:rFonts w:hint="eastAsia"/>
                <w:highlight w:val="none"/>
                <w:u w:val="single"/>
              </w:rPr>
              <w:t xml:space="preserve"> </w:t>
            </w:r>
            <w:r>
              <w:rPr>
                <w:rFonts w:hint="eastAsia"/>
                <w:highlight w:val="none"/>
              </w:rPr>
              <w:t>个；库房</w:t>
            </w:r>
            <w:r>
              <w:rPr>
                <w:rFonts w:hint="eastAsia"/>
                <w:highlight w:val="none"/>
                <w:u w:val="none"/>
              </w:rPr>
              <w:t xml:space="preserve">  </w:t>
            </w:r>
            <w:r>
              <w:rPr>
                <w:rFonts w:hint="eastAsia"/>
                <w:highlight w:val="none"/>
                <w:u w:val="none"/>
                <w:lang w:val="en-US" w:eastAsia="zh-CN"/>
              </w:rPr>
              <w:t xml:space="preserve">2 </w:t>
            </w:r>
            <w:r>
              <w:rPr>
                <w:rFonts w:hint="eastAsia"/>
                <w:highlight w:val="none"/>
                <w:u w:val="none"/>
              </w:rPr>
              <w:t xml:space="preserve"> </w:t>
            </w:r>
            <w:r>
              <w:rPr>
                <w:rFonts w:hint="eastAsia"/>
                <w:highlight w:val="none"/>
              </w:rPr>
              <w:t>个</w:t>
            </w:r>
            <w:r>
              <w:rPr>
                <w:rFonts w:hint="eastAsia"/>
                <w:highlight w:val="none"/>
                <w:lang w:eastAsia="zh-CN"/>
              </w:rPr>
              <w:t>（</w:t>
            </w:r>
            <w:r>
              <w:rPr>
                <w:rFonts w:hint="eastAsia"/>
                <w:highlight w:val="none"/>
                <w:lang w:val="en-US" w:eastAsia="zh-CN"/>
              </w:rPr>
              <w:t>原料库</w:t>
            </w:r>
            <w:r>
              <w:rPr>
                <w:rFonts w:hint="eastAsia"/>
                <w:highlight w:val="none"/>
                <w:u w:val="single"/>
                <w:lang w:val="en-US" w:eastAsia="zh-CN"/>
              </w:rPr>
              <w:t>1</w:t>
            </w:r>
            <w:r>
              <w:rPr>
                <w:rFonts w:hint="eastAsia"/>
                <w:highlight w:val="none"/>
                <w:lang w:val="en-US" w:eastAsia="zh-CN"/>
              </w:rPr>
              <w:t>；</w:t>
            </w:r>
            <w:r>
              <w:rPr>
                <w:rFonts w:hint="eastAsia"/>
                <w:highlight w:val="none"/>
                <w:lang w:eastAsia="zh-CN"/>
              </w:rPr>
              <w:t>）</w:t>
            </w:r>
            <w:r>
              <w:rPr>
                <w:rFonts w:hint="eastAsia"/>
                <w:highlight w:val="none"/>
              </w:rPr>
              <w:t xml:space="preserve">；实验室 </w:t>
            </w:r>
            <w:r>
              <w:rPr>
                <w:rFonts w:hint="eastAsia"/>
                <w:highlight w:val="none"/>
                <w:lang w:val="en-US" w:eastAsia="zh-CN"/>
              </w:rPr>
              <w:t>1</w:t>
            </w:r>
            <w:r>
              <w:rPr>
                <w:rFonts w:hint="eastAsia"/>
                <w:highlight w:val="none"/>
              </w:rPr>
              <w:t xml:space="preserve"> 个；</w:t>
            </w:r>
          </w:p>
          <w:p>
            <w:pPr>
              <w:shd w:val="clear" w:color="auto" w:fill="EBF1DE" w:themeFill="accent3" w:themeFillTint="32"/>
              <w:rPr>
                <w:rFonts w:hint="eastAsia"/>
                <w:highlight w:val="none"/>
              </w:rPr>
            </w:pPr>
            <w:r>
              <w:rPr>
                <w:rFonts w:hint="eastAsia"/>
                <w:highlight w:val="none"/>
              </w:rPr>
              <w:t xml:space="preserve">主要生产设备有：  </w:t>
            </w:r>
            <w:r>
              <w:rPr>
                <w:rFonts w:hint="eastAsia"/>
                <w:highlight w:val="none"/>
                <w:lang w:val="en-US" w:eastAsia="zh-CN"/>
              </w:rPr>
              <w:t>破碎机、搅拌机、蒸养釜、切割机、球磨机</w:t>
            </w:r>
            <w:r>
              <w:rPr>
                <w:rFonts w:hint="eastAsia"/>
                <w:highlight w:val="none"/>
              </w:rPr>
              <w:t xml:space="preserve">  （列举2~4种）</w:t>
            </w:r>
          </w:p>
          <w:p>
            <w:pPr>
              <w:shd w:val="clear" w:color="auto" w:fill="EBF1DE" w:themeFill="accent3" w:themeFillTint="32"/>
              <w:rPr>
                <w:rFonts w:hint="eastAsia"/>
                <w:highlight w:val="none"/>
              </w:rPr>
            </w:pPr>
            <w:r>
              <w:rPr>
                <w:rFonts w:hint="eastAsia"/>
                <w:highlight w:val="none"/>
              </w:rPr>
              <w:t xml:space="preserve">主要耗能设备有： </w:t>
            </w:r>
            <w:r>
              <w:rPr>
                <w:rFonts w:hint="eastAsia"/>
                <w:highlight w:val="none"/>
                <w:lang w:val="en-US" w:eastAsia="zh-CN"/>
              </w:rPr>
              <w:t>碎机、搅拌机、蒸养釜、切割机、球磨机</w:t>
            </w:r>
            <w:r>
              <w:rPr>
                <w:rFonts w:hint="eastAsia"/>
                <w:highlight w:val="none"/>
              </w:rPr>
              <w:t>（列举2~4种）</w:t>
            </w:r>
          </w:p>
          <w:p>
            <w:pPr>
              <w:shd w:val="clear" w:color="auto" w:fill="EBF1DE" w:themeFill="accent3" w:themeFillTint="32"/>
              <w:rPr>
                <w:rFonts w:hint="eastAsia"/>
                <w:highlight w:val="none"/>
              </w:rPr>
            </w:pPr>
            <w:r>
              <w:rPr>
                <w:rFonts w:hint="eastAsia"/>
                <w:highlight w:val="none"/>
              </w:rPr>
              <w:t>特种设备：</w:t>
            </w:r>
            <w:r>
              <w:rPr>
                <w:rFonts w:hint="eastAsia"/>
                <w:highlight w:val="none"/>
              </w:rPr>
              <w:sym w:font="Wingdings" w:char="00A8"/>
            </w:r>
            <w:r>
              <w:rPr>
                <w:rFonts w:hint="eastAsia"/>
                <w:highlight w:val="none"/>
              </w:rPr>
              <w:t xml:space="preserve">叉车 </w:t>
            </w:r>
            <w:r>
              <w:rPr>
                <w:rFonts w:hint="eastAsia"/>
                <w:highlight w:val="none"/>
              </w:rPr>
              <w:sym w:font="Wingdings" w:char="00FE"/>
            </w:r>
            <w:r>
              <w:rPr>
                <w:rFonts w:hint="eastAsia"/>
                <w:highlight w:val="none"/>
              </w:rPr>
              <w:t xml:space="preserve">行车 </w:t>
            </w:r>
            <w:r>
              <w:rPr>
                <w:rFonts w:hint="eastAsia"/>
                <w:highlight w:val="none"/>
              </w:rPr>
              <w:sym w:font="Wingdings" w:char="00A8"/>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FE"/>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A8"/>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FE"/>
            </w:r>
            <w:r>
              <w:rPr>
                <w:rFonts w:hint="eastAsia"/>
                <w:highlight w:val="none"/>
              </w:rPr>
              <w:t xml:space="preserve">食堂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基础设施可基本满足能源管理体系运行，但是还有不足需要补充：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u w:val="single"/>
              </w:rPr>
            </w:pPr>
            <w:r>
              <w:rPr>
                <w:rFonts w:hint="eastAsia"/>
                <w:highlight w:val="none"/>
              </w:rPr>
              <w:t>□组织</w:t>
            </w:r>
            <w:r>
              <w:rPr>
                <w:highlight w:val="none"/>
              </w:rPr>
              <w:t>现有</w:t>
            </w:r>
            <w:r>
              <w:rPr>
                <w:rFonts w:hint="eastAsia"/>
                <w:highlight w:val="none"/>
              </w:rPr>
              <w:t>基础设施完全不能满足能源管理体系运行，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273"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highlight w:val="none"/>
              </w:rPr>
              <w:sym w:font="Wingdings" w:char="00A8"/>
            </w:r>
            <w:r>
              <w:rPr>
                <w:rFonts w:hint="eastAsia"/>
                <w:highlight w:val="none"/>
              </w:rPr>
              <w:t xml:space="preserve">自校   </w:t>
            </w:r>
            <w:r>
              <w:rPr>
                <w:rFonts w:hint="eastAsia"/>
                <w:highlight w:val="none"/>
              </w:rPr>
              <w:sym w:font="Wingdings" w:char="00FE"/>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能源计量器具有：</w:t>
            </w:r>
            <w:r>
              <w:rPr>
                <w:rFonts w:hint="eastAsia"/>
                <w:highlight w:val="none"/>
                <w:u w:val="single"/>
              </w:rPr>
              <w:t xml:space="preserve"> </w:t>
            </w:r>
            <w:r>
              <w:rPr>
                <w:rFonts w:hint="eastAsia"/>
                <w:highlight w:val="none"/>
                <w:u w:val="single"/>
                <w:lang w:val="en-US" w:eastAsia="zh-CN"/>
              </w:rPr>
              <w:t>天然气流量计、电力表</w:t>
            </w:r>
            <w:r>
              <w:rPr>
                <w:rFonts w:hint="eastAsia"/>
                <w:highlight w:val="none"/>
                <w:u w:val="single"/>
              </w:rPr>
              <w:t xml:space="preserve">    （列举1~4种）</w:t>
            </w:r>
          </w:p>
          <w:p>
            <w:pPr>
              <w:shd w:val="clear" w:color="auto" w:fill="EBF1DE" w:themeFill="accent3" w:themeFillTint="32"/>
              <w:rPr>
                <w:highlight w:val="none"/>
                <w:u w:val="single"/>
              </w:rPr>
            </w:pPr>
            <w:r>
              <w:rPr>
                <w:rFonts w:hint="eastAsia"/>
                <w:highlight w:val="none"/>
              </w:rPr>
              <w:t>计量器具管理：</w:t>
            </w:r>
            <w:r>
              <w:rPr>
                <w:rFonts w:hint="eastAsia"/>
                <w:highlight w:val="none"/>
              </w:rPr>
              <w:sym w:font="Wingdings" w:char="00FE"/>
            </w:r>
            <w:r>
              <w:rPr>
                <w:rFonts w:hint="eastAsia"/>
                <w:highlight w:val="none"/>
              </w:rPr>
              <w:t xml:space="preserve">进行了定期校准/检定  </w:t>
            </w:r>
            <w:r>
              <w:rPr>
                <w:rFonts w:hint="eastAsia"/>
                <w:highlight w:val="none"/>
              </w:rPr>
              <w:sym w:font="Wingdings" w:char="00A8"/>
            </w:r>
            <w:r>
              <w:rPr>
                <w:rFonts w:hint="eastAsia"/>
                <w:highlight w:val="none"/>
              </w:rPr>
              <w:t xml:space="preserve">未进行定期校准/检定的有： </w:t>
            </w:r>
            <w:r>
              <w:rPr>
                <w:rFonts w:hint="eastAsia"/>
                <w:highlight w:val="none"/>
                <w:u w:val="single"/>
              </w:rPr>
              <w:t xml:space="preserve"> </w:t>
            </w:r>
            <w:r>
              <w:rPr>
                <w:rFonts w:hint="eastAsia"/>
                <w:u w:val="single"/>
                <w:lang w:val="en-US" w:eastAsia="zh-CN"/>
              </w:rPr>
              <w:t xml:space="preserve">电力表、蒸汽表由华电襄阳电厂进行检定，水表襄阳市自来水公司进行检定。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组织已确定与能源管理体系相关的信息沟通。</w:t>
            </w:r>
          </w:p>
          <w:p>
            <w:pPr>
              <w:shd w:val="clear" w:color="auto" w:fill="EBF1DE" w:themeFill="accent3" w:themeFillTint="32"/>
              <w:rPr>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u w:val="singl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体系文件基本受控，存在问题：</w:t>
            </w:r>
            <w:r>
              <w:rPr>
                <w:rFonts w:hint="eastAsia"/>
                <w:highlight w:val="none"/>
                <w:u w:val="single"/>
              </w:rPr>
              <w:t xml:space="preserve">                           </w:t>
            </w:r>
          </w:p>
          <w:p>
            <w:pPr>
              <w:shd w:val="clear" w:color="auto" w:fill="EBF1DE" w:themeFill="accent3" w:themeFillTint="32"/>
              <w:rPr>
                <w:highlight w:val="none"/>
              </w:rPr>
            </w:pPr>
            <w:r>
              <w:rPr>
                <w:rFonts w:hint="eastAsia"/>
                <w:highlight w:val="none"/>
              </w:rPr>
              <w:t>对节能相关的外来文件（法律法规、产品标准）进行了识别和贯彻。</w:t>
            </w:r>
          </w:p>
          <w:p>
            <w:pPr>
              <w:shd w:val="clear" w:color="auto" w:fill="EBF1DE" w:themeFill="accent3" w:themeFillTint="32"/>
              <w:rPr>
                <w:highlight w:val="none"/>
              </w:rPr>
            </w:pPr>
            <w:r>
              <w:rPr>
                <w:rFonts w:hint="eastAsia"/>
                <w:highlight w:val="none"/>
                <w:lang w:eastAsia="zh-CN"/>
              </w:rPr>
              <w:t>☑</w:t>
            </w:r>
            <w:r>
              <w:rPr>
                <w:rFonts w:hint="eastAsia"/>
                <w:highlight w:val="none"/>
              </w:rPr>
              <w:t>法律法规获取充分，□法律法规获取有遗漏，缺少：</w:t>
            </w:r>
            <w:r>
              <w:rPr>
                <w:rFonts w:hint="eastAsia"/>
                <w:highlight w:val="none"/>
                <w:u w:val="single"/>
              </w:rPr>
              <w:t xml:space="preserve">                           </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highlight w:val="none"/>
              </w:rPr>
              <w:t>组织为满足节能管理的要求，已对用能过程建立了相应的运行准则；按照运行准则实施过程控制。策划文件包括：</w:t>
            </w:r>
          </w:p>
          <w:p>
            <w:pPr>
              <w:shd w:val="clear" w:color="auto" w:fill="EBF1DE" w:themeFill="accent3" w:themeFillTint="32"/>
              <w:rPr>
                <w:highlight w:val="none"/>
              </w:rPr>
            </w:pPr>
            <w:r>
              <w:rPr>
                <w:rFonts w:hint="eastAsia"/>
                <w:color w:val="auto"/>
                <w:highlight w:val="none"/>
              </w:rPr>
              <w:t xml:space="preserve"> </w:t>
            </w:r>
            <w:r>
              <w:rPr>
                <w:rFonts w:hint="eastAsia"/>
                <w:color w:val="auto"/>
                <w:highlight w:val="none"/>
              </w:rPr>
              <w:sym w:font="Wingdings" w:char="00FE"/>
            </w:r>
            <w:r>
              <w:rPr>
                <w:rFonts w:hint="eastAsia"/>
                <w:color w:val="auto"/>
                <w:highlight w:val="none"/>
              </w:rPr>
              <w:t xml:space="preserve">操作规程 </w:t>
            </w:r>
            <w:r>
              <w:rPr>
                <w:rFonts w:hint="eastAsia"/>
                <w:color w:val="auto"/>
                <w:highlight w:val="none"/>
              </w:rPr>
              <w:sym w:font="Wingdings" w:char="00FE"/>
            </w:r>
            <w:r>
              <w:rPr>
                <w:rFonts w:hint="eastAsia"/>
                <w:color w:val="auto"/>
                <w:highlight w:val="none"/>
              </w:rPr>
              <w:t xml:space="preserve">作业文件  </w:t>
            </w:r>
            <w:r>
              <w:rPr>
                <w:rFonts w:hint="eastAsia"/>
                <w:color w:val="auto"/>
                <w:highlight w:val="none"/>
              </w:rPr>
              <w:sym w:font="Wingdings" w:char="00FE"/>
            </w:r>
            <w:r>
              <w:rPr>
                <w:rFonts w:hint="eastAsia"/>
                <w:color w:val="auto"/>
                <w:highlight w:val="none"/>
              </w:rPr>
              <w:t xml:space="preserve">工艺卡片   </w:t>
            </w:r>
            <w:r>
              <w:rPr>
                <w:rFonts w:hint="eastAsia"/>
                <w:color w:val="auto"/>
                <w:highlight w:val="none"/>
              </w:rPr>
              <w:sym w:font="Wingdings" w:char="00FE"/>
            </w:r>
            <w:r>
              <w:rPr>
                <w:rFonts w:hint="eastAsia"/>
                <w:color w:val="auto"/>
                <w:highlight w:val="none"/>
              </w:rPr>
              <w:t xml:space="preserve">接收准则  </w:t>
            </w:r>
            <w:r>
              <w:rPr>
                <w:rFonts w:hint="eastAsia"/>
                <w:color w:val="auto"/>
                <w:highlight w:val="none"/>
              </w:rPr>
              <w:sym w:font="Wingdings" w:char="00FE"/>
            </w:r>
            <w:r>
              <w:rPr>
                <w:rFonts w:hint="eastAsia"/>
                <w:color w:val="auto"/>
                <w:highlight w:val="none"/>
              </w:rPr>
              <w:t xml:space="preserve">工艺流程图  </w:t>
            </w:r>
            <w:r>
              <w:rPr>
                <w:rFonts w:hint="eastAsia"/>
                <w:color w:val="auto"/>
                <w:highlight w:val="none"/>
              </w:rPr>
              <w:sym w:font="Wingdings" w:char="00FE"/>
            </w:r>
            <w:r>
              <w:rPr>
                <w:rFonts w:hint="eastAsia"/>
                <w:color w:val="auto"/>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highlight w:val="none"/>
              </w:rPr>
            </w:pPr>
            <w:r>
              <w:rPr>
                <w:rFonts w:hint="eastAsia"/>
                <w:highlight w:val="none"/>
              </w:rPr>
              <w:t>审核期间内，设计和开</w:t>
            </w:r>
            <w:r>
              <w:rPr>
                <w:rFonts w:hint="eastAsia"/>
                <w:color w:val="auto"/>
                <w:highlight w:val="none"/>
              </w:rPr>
              <w:t>发新产品/项目名称</w:t>
            </w:r>
            <w:r>
              <w:rPr>
                <w:rFonts w:hint="eastAsia"/>
                <w:highlight w:val="none"/>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举1例）</w:t>
            </w:r>
          </w:p>
          <w:p>
            <w:pPr>
              <w:shd w:val="clear" w:color="auto" w:fill="EBF1DE" w:themeFill="accent3" w:themeFillTint="32"/>
              <w:rPr>
                <w:highlight w:val="none"/>
              </w:rPr>
            </w:pPr>
            <w:r>
              <w:rPr>
                <w:rFonts w:hint="eastAsia"/>
                <w:highlight w:val="none"/>
              </w:rPr>
              <w:t>对该设计和开发的项目进行了节能评估，并制订了相应的控制措施。</w:t>
            </w:r>
          </w:p>
          <w:p>
            <w:pPr>
              <w:shd w:val="clear" w:color="auto" w:fill="EBF1DE" w:themeFill="accent3" w:themeFillTint="32"/>
              <w:rPr>
                <w:highlight w:val="none"/>
              </w:rPr>
            </w:pPr>
            <w:r>
              <w:rPr>
                <w:rFonts w:hint="eastAsia"/>
                <w:highlight w:val="none"/>
              </w:rPr>
              <w:t>设计和开发的节能措施控制：</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jc w:val="left"/>
              <w:rPr>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jc w:val="left"/>
              <w:rPr>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主要能源使用</w:t>
                  </w:r>
                </w:p>
              </w:tc>
              <w:tc>
                <w:tcPr>
                  <w:tcW w:w="3665"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蒸汽消耗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加强计量管理，加强蒸汽管网检查</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lang w:val="en-US" w:eastAsia="zh-CN"/>
                    </w:rPr>
                    <w:t>水</w:t>
                  </w:r>
                  <w:r>
                    <w:rPr>
                      <w:rFonts w:hint="eastAsia"/>
                      <w:highlight w:val="none"/>
                    </w:rPr>
                    <w:t>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冷却水循环使用，确保不外排；</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电的消耗</w:t>
                  </w:r>
                </w:p>
              </w:tc>
              <w:tc>
                <w:tcPr>
                  <w:tcW w:w="36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jc w:val="left"/>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highlight w:val="none"/>
                    </w:rPr>
                  </w:pPr>
                  <w:r>
                    <w:rPr>
                      <w:rFonts w:hint="eastAsia"/>
                      <w:highlight w:val="none"/>
                    </w:rPr>
                    <w:t>其他</w:t>
                  </w:r>
                </w:p>
              </w:tc>
              <w:tc>
                <w:tcPr>
                  <w:tcW w:w="3665"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highlight w:val="none"/>
              </w:rPr>
            </w:pPr>
            <w:r>
              <w:rPr>
                <w:rFonts w:hint="eastAsia"/>
                <w:highlight w:val="none"/>
              </w:rPr>
              <w:t>已发生的更改包括：</w:t>
            </w:r>
            <w:r>
              <w:rPr>
                <w:rFonts w:hint="eastAsia"/>
                <w:highlight w:val="none"/>
              </w:rPr>
              <w:sym w:font="Wingdings" w:char="00FE"/>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r>
              <w:rPr>
                <w:rFonts w:hint="eastAsia"/>
                <w:highlight w:val="none"/>
              </w:rPr>
              <w:t>变更控制：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color w:val="000000" w:themeColor="text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组织</w:t>
            </w:r>
            <w:r>
              <w:rPr>
                <w:rFonts w:hint="eastAsia"/>
                <w:color w:val="000000" w:themeColor="text1"/>
                <w:highlight w:val="none"/>
                <w:lang w:val="en-GB"/>
                <w14:textFill>
                  <w14:solidFill>
                    <w14:schemeClr w14:val="tx1"/>
                  </w14:solidFill>
                </w14:textFill>
              </w:rPr>
              <w:t>已经制定了信息</w:t>
            </w:r>
            <w:r>
              <w:rPr>
                <w:rFonts w:hint="eastAsia"/>
                <w:color w:val="000000" w:themeColor="text1"/>
                <w:highlight w:val="none"/>
                <w14:textFill>
                  <w14:solidFill>
                    <w14:schemeClr w14:val="tx1"/>
                  </w14:solidFill>
                </w14:textFill>
              </w:rPr>
              <w:t>的收集、</w:t>
            </w:r>
            <w:r>
              <w:rPr>
                <w:rFonts w:hint="eastAsia"/>
                <w:color w:val="000000" w:themeColor="text1"/>
                <w:highlight w:val="none"/>
                <w:lang w:val="en-GB"/>
                <w14:textFill>
                  <w14:solidFill>
                    <w14:schemeClr w14:val="tx1"/>
                  </w14:solidFill>
                </w14:textFill>
              </w:rPr>
              <w:t>数据分析、改进方法相关的程序，并生效。</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组织已分析和评价通过监视和测量获得的适当的数据和信息。</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组织已建立、实施并保持评价其合规义务履行情况所需的过程。</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实施合规性评价的时间：</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FE"/>
            </w:r>
            <w:r>
              <w:rPr>
                <w:rFonts w:hint="eastAsia"/>
                <w:color w:val="000000" w:themeColor="text1"/>
                <w:highlight w:val="none"/>
                <w14:textFill>
                  <w14:solidFill>
                    <w14:schemeClr w14:val="tx1"/>
                  </w14:solidFill>
                </w14:textFill>
              </w:rPr>
              <w:t>定期（每年）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2020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11</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10</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shd w:val="clear" w:color="auto" w:fill="EBF1DE" w:themeFill="accent3" w:themeFillTint="3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特殊情况（法规变化）：</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年</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月</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pPr>
              <w:shd w:val="clear" w:color="auto" w:fill="EBF1DE" w:themeFill="accent3" w:themeFillTint="32"/>
              <w:rPr>
                <w:highlight w:val="none"/>
              </w:rPr>
            </w:pPr>
            <w:r>
              <w:rPr>
                <w:rFonts w:hint="eastAsia"/>
                <w:color w:val="000000" w:themeColor="text1"/>
                <w:highlight w:val="none"/>
                <w14:textFill>
                  <w14:solidFill>
                    <w14:schemeClr w14:val="tx1"/>
                  </w14:solidFill>
                </w14:textFill>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highlight w:val="none"/>
              </w:rPr>
            </w:pPr>
            <w:r>
              <w:rPr>
                <w:rFonts w:hint="eastAsia"/>
                <w:highlight w:val="none"/>
              </w:rPr>
              <w:t>实施的检测：</w:t>
            </w:r>
            <w:r>
              <w:rPr>
                <w:rFonts w:hint="eastAsia"/>
                <w:highlight w:val="none"/>
              </w:rPr>
              <w:sym w:font="Wingdings" w:char="00A8"/>
            </w:r>
            <w:r>
              <w:rPr>
                <w:rFonts w:hint="eastAsia"/>
                <w:highlight w:val="none"/>
              </w:rPr>
              <w:t xml:space="preserve">企业自测 </w:t>
            </w:r>
            <w:r>
              <w:rPr>
                <w:rFonts w:hint="eastAsia"/>
                <w:highlight w:val="none"/>
              </w:rPr>
              <w:sym w:font="Wingdings" w:char="00FE"/>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《能效测试报告》编号：</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20-21</w:t>
            </w:r>
            <w:r>
              <w:rPr>
                <w:rFonts w:hint="eastAsia"/>
                <w:highlight w:val="none"/>
                <w:u w:val="single"/>
              </w:rPr>
              <w:t xml:space="preserve">  </w:t>
            </w:r>
            <w:r>
              <w:rPr>
                <w:rFonts w:hint="eastAsia"/>
                <w:highlight w:val="none"/>
              </w:rPr>
              <w:t>日实施了能源管理体系内部审核，对能源管理体系的符合性和有效性进行了审核。内审发现的</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最高管理者已按策划的时间间隔，在</w:t>
            </w:r>
            <w:r>
              <w:rPr>
                <w:rFonts w:hint="eastAsia"/>
                <w:highlight w:val="none"/>
                <w:u w:val="single"/>
              </w:rPr>
              <w:t xml:space="preserve">  </w:t>
            </w:r>
            <w:r>
              <w:rPr>
                <w:rFonts w:hint="eastAsia"/>
                <w:highlight w:val="none"/>
                <w:u w:val="single"/>
                <w:lang w:val="en-US" w:eastAsia="zh-CN"/>
              </w:rPr>
              <w:t>2020</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12</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25</w:t>
            </w:r>
            <w:r>
              <w:rPr>
                <w:rFonts w:hint="eastAsia"/>
                <w:highlight w:val="none"/>
                <w:u w:val="single"/>
              </w:rPr>
              <w:t xml:space="preserve">  </w:t>
            </w:r>
            <w:r>
              <w:rPr>
                <w:rFonts w:hint="eastAsia"/>
                <w:highlight w:val="none"/>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组织持续改进了能源管理体系的适宜性、充分性与有效性，以提升能源绩效。</w:t>
            </w:r>
          </w:p>
        </w:tc>
      </w:tr>
    </w:tbl>
    <w:p>
      <w:pPr>
        <w:shd w:val="clear" w:color="auto" w:fill="EBF1DE" w:themeFill="accent3" w:themeFillTint="32"/>
        <w:rPr>
          <w:highlight w:val="none"/>
        </w:rPr>
      </w:pPr>
    </w:p>
    <w:tbl>
      <w:tblPr>
        <w:tblStyle w:val="10"/>
        <w:tblW w:w="98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682"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14" w:type="dxa"/>
            <w:shd w:val="clear" w:color="auto" w:fill="EBF1DE" w:themeFill="accent3" w:themeFillTint="32"/>
            <w:vAlign w:val="center"/>
          </w:tcPr>
          <w:p>
            <w:pPr>
              <w:shd w:val="clear" w:color="auto" w:fill="EBF1DE" w:themeFill="accent3" w:themeFillTint="32"/>
              <w:rPr>
                <w:highlight w:val="none"/>
                <w:lang w:eastAsia="ja-JP"/>
              </w:rPr>
            </w:pPr>
          </w:p>
        </w:tc>
        <w:tc>
          <w:tcPr>
            <w:tcW w:w="764" w:type="dxa"/>
            <w:shd w:val="clear" w:color="auto" w:fill="EBF1DE" w:themeFill="accent3" w:themeFillTint="32"/>
            <w:vAlign w:val="center"/>
          </w:tcPr>
          <w:p>
            <w:pPr>
              <w:shd w:val="clear" w:color="auto" w:fill="EBF1DE" w:themeFill="accent3" w:themeFillTint="32"/>
              <w:rPr>
                <w:highlight w:val="none"/>
                <w:lang w:eastAsia="ja-JP"/>
              </w:rPr>
            </w:pPr>
          </w:p>
        </w:tc>
        <w:tc>
          <w:tcPr>
            <w:tcW w:w="773" w:type="dxa"/>
            <w:shd w:val="clear" w:color="auto" w:fill="EBF1DE" w:themeFill="accent3" w:themeFillTint="32"/>
            <w:vAlign w:val="center"/>
          </w:tcPr>
          <w:p>
            <w:pPr>
              <w:shd w:val="clear" w:color="auto" w:fill="EBF1DE" w:themeFill="accent3" w:themeFillTint="32"/>
              <w:rPr>
                <w:highlight w:val="none"/>
                <w:lang w:eastAsia="ja-JP"/>
              </w:rPr>
            </w:pPr>
          </w:p>
        </w:tc>
        <w:tc>
          <w:tcPr>
            <w:tcW w:w="700" w:type="dxa"/>
            <w:shd w:val="clear" w:color="auto" w:fill="EBF1DE" w:themeFill="accent3" w:themeFillTint="32"/>
            <w:vAlign w:val="center"/>
          </w:tcPr>
          <w:p>
            <w:pPr>
              <w:shd w:val="clear" w:color="auto" w:fill="EBF1DE" w:themeFill="accent3" w:themeFillTint="32"/>
              <w:rPr>
                <w:highlight w:val="none"/>
                <w:lang w:eastAsia="ja-JP"/>
              </w:rPr>
            </w:pPr>
          </w:p>
        </w:tc>
        <w:tc>
          <w:tcPr>
            <w:tcW w:w="763" w:type="dxa"/>
            <w:shd w:val="clear" w:color="auto" w:fill="EBF1DE" w:themeFill="accent3" w:themeFillTint="32"/>
            <w:vAlign w:val="center"/>
          </w:tcPr>
          <w:p>
            <w:pPr>
              <w:shd w:val="clear" w:color="auto" w:fill="EBF1DE" w:themeFill="accent3" w:themeFillTint="32"/>
              <w:rPr>
                <w:highlight w:val="none"/>
                <w:lang w:eastAsia="ja-JP"/>
              </w:rPr>
            </w:pPr>
          </w:p>
        </w:tc>
        <w:tc>
          <w:tcPr>
            <w:tcW w:w="746" w:type="dxa"/>
            <w:shd w:val="clear" w:color="auto" w:fill="EBF1DE" w:themeFill="accent3" w:themeFillTint="32"/>
            <w:vAlign w:val="center"/>
          </w:tcPr>
          <w:p>
            <w:pPr>
              <w:shd w:val="clear" w:color="auto" w:fill="EBF1DE" w:themeFill="accent3" w:themeFillTint="32"/>
              <w:rPr>
                <w:highlight w:val="none"/>
                <w:lang w:eastAsia="ja-JP"/>
              </w:rPr>
            </w:pPr>
          </w:p>
        </w:tc>
        <w:tc>
          <w:tcPr>
            <w:tcW w:w="736" w:type="dxa"/>
            <w:shd w:val="clear" w:color="auto" w:fill="EBF1DE" w:themeFill="accent3" w:themeFillTint="32"/>
            <w:vAlign w:val="center"/>
          </w:tcPr>
          <w:p>
            <w:pPr>
              <w:shd w:val="clear" w:color="auto" w:fill="EBF1DE" w:themeFill="accent3" w:themeFillTint="32"/>
              <w:rPr>
                <w:highlight w:val="none"/>
                <w:lang w:eastAsia="ja-JP"/>
              </w:rPr>
            </w:pPr>
          </w:p>
        </w:tc>
        <w:tc>
          <w:tcPr>
            <w:tcW w:w="682"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rPr>
          <w:highlight w:val="none"/>
        </w:rPr>
      </w:pPr>
    </w:p>
    <w:p>
      <w:pPr>
        <w:shd w:val="clear" w:color="auto" w:fill="EBF1DE" w:themeFill="accent3" w:themeFillTint="32"/>
        <w:rPr>
          <w:highlight w:val="none"/>
        </w:rPr>
      </w:pPr>
    </w:p>
    <w:p>
      <w:pPr>
        <w:shd w:val="clear" w:color="auto" w:fill="EBF1DE" w:themeFill="accent3" w:themeFillTint="32"/>
        <w:rPr>
          <w:highlight w:val="none"/>
        </w:rPr>
      </w:pPr>
      <w:r>
        <w:rPr>
          <w:highlight w:val="none"/>
        </w:rPr>
        <w:t xml:space="preserve">*评价: </w:t>
      </w:r>
      <w:r>
        <w:rPr>
          <w:highlight w:val="none"/>
        </w:rPr>
        <w:tab/>
      </w:r>
      <w:r>
        <w:rPr>
          <w:highlight w:val="none"/>
        </w:rPr>
        <w:t>1 = 符合</w:t>
      </w:r>
    </w:p>
    <w:p>
      <w:pPr>
        <w:shd w:val="clear" w:color="auto" w:fill="EBF1DE" w:themeFill="accent3" w:themeFillTint="32"/>
        <w:rPr>
          <w:highlight w:val="none"/>
        </w:rPr>
      </w:pPr>
      <w:r>
        <w:rPr>
          <w:highlight w:val="none"/>
        </w:rPr>
        <w:tab/>
      </w:r>
      <w:r>
        <w:rPr>
          <w:highlight w:val="none"/>
        </w:rPr>
        <w:tab/>
      </w:r>
      <w:r>
        <w:rPr>
          <w:highlight w:val="none"/>
        </w:rPr>
        <w:t>2 = 这次审核没审</w:t>
      </w:r>
    </w:p>
    <w:p>
      <w:pPr>
        <w:shd w:val="clear" w:color="auto" w:fill="EBF1DE" w:themeFill="accent3" w:themeFillTint="32"/>
        <w:rPr>
          <w:highlight w:val="none"/>
        </w:rPr>
      </w:pPr>
      <w:r>
        <w:rPr>
          <w:highlight w:val="none"/>
        </w:rPr>
        <w:tab/>
      </w:r>
      <w:r>
        <w:rPr>
          <w:highlight w:val="none"/>
        </w:rPr>
        <w:tab/>
      </w:r>
      <w:r>
        <w:rPr>
          <w:highlight w:val="none"/>
        </w:rPr>
        <w:t xml:space="preserve">3 = 失效/不符合(参见不符合报告)  </w:t>
      </w:r>
    </w:p>
    <w:p>
      <w:pPr>
        <w:shd w:val="clear" w:color="auto" w:fill="EBF1DE" w:themeFill="accent3" w:themeFillTint="32"/>
        <w:rPr>
          <w:highlight w:val="none"/>
        </w:rPr>
      </w:pPr>
      <w:r>
        <w:rPr>
          <w:highlight w:val="none"/>
        </w:rPr>
        <w:tab/>
      </w:r>
      <w:r>
        <w:rPr>
          <w:highlight w:val="none"/>
        </w:rPr>
        <w:tab/>
      </w:r>
      <w:r>
        <w:rPr>
          <w:highlight w:val="none"/>
        </w:rPr>
        <w:t>4 = 不适用</w:t>
      </w:r>
    </w:p>
    <w:p>
      <w:pPr>
        <w:shd w:val="clear" w:color="auto" w:fill="EBF1DE" w:themeFill="accent3" w:themeFillTint="32"/>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14" w:name="_Hlk8555230"/>
    <w:r>
      <w:drawing>
        <wp:anchor distT="0" distB="0" distL="114300" distR="114300" simplePos="0" relativeHeight="251660288"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mc:AlternateContent>
        <mc:Choice Requires="wps">
          <w:drawing>
            <wp:anchor distT="0" distB="0" distL="114300" distR="114300" simplePos="0" relativeHeight="251661312" behindDoc="0" locked="0" layoutInCell="1" allowOverlap="1">
              <wp:simplePos x="0" y="0"/>
              <wp:positionH relativeFrom="column">
                <wp:posOffset>3166745</wp:posOffset>
              </wp:positionH>
              <wp:positionV relativeFrom="paragraph">
                <wp:posOffset>66675</wp:posOffset>
              </wp:positionV>
              <wp:extent cx="2084070" cy="256540"/>
              <wp:effectExtent l="0" t="0" r="11430" b="10160"/>
              <wp:wrapNone/>
              <wp:docPr id="4"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wps:txbx>
                    <wps:bodyPr upright="1"/>
                  </wps:wsp>
                </a:graphicData>
              </a:graphic>
            </wp:anchor>
          </w:drawing>
        </mc:Choice>
        <mc:Fallback>
          <w:pict>
            <v:shape id="文本框 1" o:spid="_x0000_s1026" o:spt="202" type="#_x0000_t202" style="position:absolute;left:0pt;margin-left:249.35pt;margin-top:5.25pt;height:20.2pt;width:164.1pt;z-index:251661312;mso-width-relative:page;mso-height-relative:page;" fillcolor="#FFFFFF" filled="t" stroked="f" coordsize="21600,21600" o:gfxdata="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IPcRbWAAAACQEAAA8AAAAAAAAAAQAgAAAAIgAA&#10;AGRycy9kb3ducmV2LnhtbFBLAQIUABQAAAAIAIdO4kDyZ5I/0QEAAI4DAAAOAAAAAAAAAAEAIAAA&#10;ACUBAABkcnMvZTJvRG9jLnhtbFBLBQYAAAAABgAGAFkBAABoBQAAAAA=&#10;">
              <v:fill on="t" focussize="0,0"/>
              <v:stroke on="f"/>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14"/>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13C"/>
    <w:rsid w:val="00003BF2"/>
    <w:rsid w:val="000247CC"/>
    <w:rsid w:val="000443F0"/>
    <w:rsid w:val="00052868"/>
    <w:rsid w:val="00071D0F"/>
    <w:rsid w:val="0007316A"/>
    <w:rsid w:val="00075C70"/>
    <w:rsid w:val="000833FB"/>
    <w:rsid w:val="0008517E"/>
    <w:rsid w:val="000F2F8F"/>
    <w:rsid w:val="001C3387"/>
    <w:rsid w:val="001D399B"/>
    <w:rsid w:val="001D5696"/>
    <w:rsid w:val="00236250"/>
    <w:rsid w:val="0023683F"/>
    <w:rsid w:val="00272F4D"/>
    <w:rsid w:val="002B120A"/>
    <w:rsid w:val="002D0DC0"/>
    <w:rsid w:val="002D1483"/>
    <w:rsid w:val="002D7E06"/>
    <w:rsid w:val="002F549E"/>
    <w:rsid w:val="00341103"/>
    <w:rsid w:val="00344E0D"/>
    <w:rsid w:val="00373391"/>
    <w:rsid w:val="00376915"/>
    <w:rsid w:val="003E1392"/>
    <w:rsid w:val="003E3D4F"/>
    <w:rsid w:val="003F74C1"/>
    <w:rsid w:val="003F7D21"/>
    <w:rsid w:val="004100EA"/>
    <w:rsid w:val="00457212"/>
    <w:rsid w:val="004614A7"/>
    <w:rsid w:val="00464786"/>
    <w:rsid w:val="00484B0B"/>
    <w:rsid w:val="004C1602"/>
    <w:rsid w:val="004D3E71"/>
    <w:rsid w:val="004F3778"/>
    <w:rsid w:val="004F64A2"/>
    <w:rsid w:val="005164BD"/>
    <w:rsid w:val="00532B87"/>
    <w:rsid w:val="00584F23"/>
    <w:rsid w:val="00592421"/>
    <w:rsid w:val="005B675E"/>
    <w:rsid w:val="005E1CBB"/>
    <w:rsid w:val="00603285"/>
    <w:rsid w:val="00610FA8"/>
    <w:rsid w:val="006112A8"/>
    <w:rsid w:val="006306D9"/>
    <w:rsid w:val="00632A83"/>
    <w:rsid w:val="00692141"/>
    <w:rsid w:val="006C6F24"/>
    <w:rsid w:val="006D0D14"/>
    <w:rsid w:val="006D7D81"/>
    <w:rsid w:val="007107F7"/>
    <w:rsid w:val="00712F52"/>
    <w:rsid w:val="00770469"/>
    <w:rsid w:val="00775D3A"/>
    <w:rsid w:val="007B2F73"/>
    <w:rsid w:val="007B778F"/>
    <w:rsid w:val="007C4DD7"/>
    <w:rsid w:val="007E3F96"/>
    <w:rsid w:val="008030AC"/>
    <w:rsid w:val="00845D78"/>
    <w:rsid w:val="00850E86"/>
    <w:rsid w:val="00857EF7"/>
    <w:rsid w:val="00862942"/>
    <w:rsid w:val="008648E8"/>
    <w:rsid w:val="00877EB8"/>
    <w:rsid w:val="008A6929"/>
    <w:rsid w:val="008C0840"/>
    <w:rsid w:val="008E67FF"/>
    <w:rsid w:val="009203AC"/>
    <w:rsid w:val="0092740B"/>
    <w:rsid w:val="00932B07"/>
    <w:rsid w:val="0096176A"/>
    <w:rsid w:val="0099002F"/>
    <w:rsid w:val="009A7BA8"/>
    <w:rsid w:val="009B43AC"/>
    <w:rsid w:val="009E35D1"/>
    <w:rsid w:val="009E741A"/>
    <w:rsid w:val="009F67BF"/>
    <w:rsid w:val="00A057D9"/>
    <w:rsid w:val="00A102E4"/>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123F"/>
    <w:rsid w:val="00C634D9"/>
    <w:rsid w:val="00C757A7"/>
    <w:rsid w:val="00C76854"/>
    <w:rsid w:val="00C80E43"/>
    <w:rsid w:val="00D00BA6"/>
    <w:rsid w:val="00D1113C"/>
    <w:rsid w:val="00D40E52"/>
    <w:rsid w:val="00D81706"/>
    <w:rsid w:val="00D97A64"/>
    <w:rsid w:val="00DD2268"/>
    <w:rsid w:val="00E148C5"/>
    <w:rsid w:val="00E255D2"/>
    <w:rsid w:val="00E32B36"/>
    <w:rsid w:val="00E81DCE"/>
    <w:rsid w:val="00E9214A"/>
    <w:rsid w:val="00E946C0"/>
    <w:rsid w:val="00E94C3B"/>
    <w:rsid w:val="00EE2D5C"/>
    <w:rsid w:val="00EF1481"/>
    <w:rsid w:val="00EF1957"/>
    <w:rsid w:val="00F326DC"/>
    <w:rsid w:val="00F32AFF"/>
    <w:rsid w:val="00F64301"/>
    <w:rsid w:val="00F86288"/>
    <w:rsid w:val="00FA5C98"/>
    <w:rsid w:val="00FD38F7"/>
    <w:rsid w:val="00FD6EB5"/>
    <w:rsid w:val="00FF6078"/>
    <w:rsid w:val="022A73A0"/>
    <w:rsid w:val="02C705A2"/>
    <w:rsid w:val="03055103"/>
    <w:rsid w:val="036614DE"/>
    <w:rsid w:val="0473678B"/>
    <w:rsid w:val="04926AE6"/>
    <w:rsid w:val="04BF28DC"/>
    <w:rsid w:val="04F253AD"/>
    <w:rsid w:val="04FE5AF0"/>
    <w:rsid w:val="05DA62DB"/>
    <w:rsid w:val="06280BA3"/>
    <w:rsid w:val="066E7CA6"/>
    <w:rsid w:val="06E814B3"/>
    <w:rsid w:val="07247F07"/>
    <w:rsid w:val="07453E91"/>
    <w:rsid w:val="078F5AA5"/>
    <w:rsid w:val="07D6127C"/>
    <w:rsid w:val="084D40F7"/>
    <w:rsid w:val="085D187D"/>
    <w:rsid w:val="093C4240"/>
    <w:rsid w:val="09713483"/>
    <w:rsid w:val="09B63CA5"/>
    <w:rsid w:val="09D154C9"/>
    <w:rsid w:val="09DB7BDC"/>
    <w:rsid w:val="09F41A70"/>
    <w:rsid w:val="0ABE7597"/>
    <w:rsid w:val="0B011C95"/>
    <w:rsid w:val="0B585209"/>
    <w:rsid w:val="0B7B3113"/>
    <w:rsid w:val="0BEC6006"/>
    <w:rsid w:val="0C462D5C"/>
    <w:rsid w:val="0C897635"/>
    <w:rsid w:val="0CF70AD5"/>
    <w:rsid w:val="0DC61A68"/>
    <w:rsid w:val="0DCF1171"/>
    <w:rsid w:val="0E4F6FC4"/>
    <w:rsid w:val="0E7E3CB0"/>
    <w:rsid w:val="0F6D45A9"/>
    <w:rsid w:val="102941B5"/>
    <w:rsid w:val="10CE66A2"/>
    <w:rsid w:val="11610717"/>
    <w:rsid w:val="116620D4"/>
    <w:rsid w:val="117D5C2C"/>
    <w:rsid w:val="12E87EE4"/>
    <w:rsid w:val="13B33091"/>
    <w:rsid w:val="13CE3A28"/>
    <w:rsid w:val="141B5992"/>
    <w:rsid w:val="15805901"/>
    <w:rsid w:val="15B731A0"/>
    <w:rsid w:val="168C2F3F"/>
    <w:rsid w:val="184E1945"/>
    <w:rsid w:val="18AA7CD2"/>
    <w:rsid w:val="18C04DA6"/>
    <w:rsid w:val="1914584E"/>
    <w:rsid w:val="19C9634C"/>
    <w:rsid w:val="19F41442"/>
    <w:rsid w:val="1A7C511D"/>
    <w:rsid w:val="1B0E7427"/>
    <w:rsid w:val="1B123CDB"/>
    <w:rsid w:val="1B27032A"/>
    <w:rsid w:val="1B3D6AD2"/>
    <w:rsid w:val="1C440198"/>
    <w:rsid w:val="1CCA7E2F"/>
    <w:rsid w:val="1DD8325C"/>
    <w:rsid w:val="1E94271D"/>
    <w:rsid w:val="1F5A7593"/>
    <w:rsid w:val="1F66158E"/>
    <w:rsid w:val="20894C79"/>
    <w:rsid w:val="21611269"/>
    <w:rsid w:val="21684FA1"/>
    <w:rsid w:val="227228C8"/>
    <w:rsid w:val="227F426E"/>
    <w:rsid w:val="23D0287E"/>
    <w:rsid w:val="23F92929"/>
    <w:rsid w:val="241E1146"/>
    <w:rsid w:val="24A90475"/>
    <w:rsid w:val="25222FE3"/>
    <w:rsid w:val="26CD7776"/>
    <w:rsid w:val="27C8792A"/>
    <w:rsid w:val="282D2075"/>
    <w:rsid w:val="287D37C7"/>
    <w:rsid w:val="294B2CEA"/>
    <w:rsid w:val="298266E7"/>
    <w:rsid w:val="298E75E3"/>
    <w:rsid w:val="29A5000B"/>
    <w:rsid w:val="2A351B1D"/>
    <w:rsid w:val="2A4B433E"/>
    <w:rsid w:val="2ABD43D7"/>
    <w:rsid w:val="2B59267F"/>
    <w:rsid w:val="2C9C5862"/>
    <w:rsid w:val="2CAF7268"/>
    <w:rsid w:val="2CD15CF9"/>
    <w:rsid w:val="2CDC1CAC"/>
    <w:rsid w:val="2CE76A45"/>
    <w:rsid w:val="2D312279"/>
    <w:rsid w:val="2D8F5297"/>
    <w:rsid w:val="2D9D2412"/>
    <w:rsid w:val="2DBB15EE"/>
    <w:rsid w:val="2E096CEE"/>
    <w:rsid w:val="2EBA64CC"/>
    <w:rsid w:val="2EF93BE5"/>
    <w:rsid w:val="2EFC2199"/>
    <w:rsid w:val="2F4E7DF1"/>
    <w:rsid w:val="2F691172"/>
    <w:rsid w:val="2F8C189E"/>
    <w:rsid w:val="315D2087"/>
    <w:rsid w:val="315D3D19"/>
    <w:rsid w:val="321A535A"/>
    <w:rsid w:val="33217059"/>
    <w:rsid w:val="33762162"/>
    <w:rsid w:val="3433543C"/>
    <w:rsid w:val="359F3DC7"/>
    <w:rsid w:val="36966F0E"/>
    <w:rsid w:val="37130289"/>
    <w:rsid w:val="38443A10"/>
    <w:rsid w:val="387C56EF"/>
    <w:rsid w:val="38802466"/>
    <w:rsid w:val="390A1495"/>
    <w:rsid w:val="390C6928"/>
    <w:rsid w:val="39231D36"/>
    <w:rsid w:val="39245C09"/>
    <w:rsid w:val="3A2B65EA"/>
    <w:rsid w:val="3ACF0C29"/>
    <w:rsid w:val="3C6210A8"/>
    <w:rsid w:val="3CF27344"/>
    <w:rsid w:val="3EAB3520"/>
    <w:rsid w:val="3EAD396E"/>
    <w:rsid w:val="3F0F4FB2"/>
    <w:rsid w:val="3FA04660"/>
    <w:rsid w:val="401B73D5"/>
    <w:rsid w:val="414E4D29"/>
    <w:rsid w:val="41847DAD"/>
    <w:rsid w:val="437213F6"/>
    <w:rsid w:val="43C84D1D"/>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07327E"/>
    <w:rsid w:val="4B4A3A22"/>
    <w:rsid w:val="4B6704D7"/>
    <w:rsid w:val="4BA55DEE"/>
    <w:rsid w:val="4BB00240"/>
    <w:rsid w:val="4C8978AB"/>
    <w:rsid w:val="4DE97690"/>
    <w:rsid w:val="4E0062C7"/>
    <w:rsid w:val="4E462A11"/>
    <w:rsid w:val="4F676896"/>
    <w:rsid w:val="4FB009AF"/>
    <w:rsid w:val="50164862"/>
    <w:rsid w:val="504B3A24"/>
    <w:rsid w:val="5187429B"/>
    <w:rsid w:val="51E569AA"/>
    <w:rsid w:val="520A3F74"/>
    <w:rsid w:val="524317A1"/>
    <w:rsid w:val="5278350D"/>
    <w:rsid w:val="5315050D"/>
    <w:rsid w:val="532B7C93"/>
    <w:rsid w:val="53C17238"/>
    <w:rsid w:val="54473616"/>
    <w:rsid w:val="54550C9C"/>
    <w:rsid w:val="55232F3D"/>
    <w:rsid w:val="557A1D0B"/>
    <w:rsid w:val="561B04F2"/>
    <w:rsid w:val="566804B5"/>
    <w:rsid w:val="56711D38"/>
    <w:rsid w:val="56EB7DFC"/>
    <w:rsid w:val="57036261"/>
    <w:rsid w:val="573963E7"/>
    <w:rsid w:val="57540135"/>
    <w:rsid w:val="57605AAE"/>
    <w:rsid w:val="57717409"/>
    <w:rsid w:val="57F511B5"/>
    <w:rsid w:val="58012E89"/>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5F7366E2"/>
    <w:rsid w:val="601122FA"/>
    <w:rsid w:val="608163D5"/>
    <w:rsid w:val="60B2476A"/>
    <w:rsid w:val="60EE6F87"/>
    <w:rsid w:val="611E380B"/>
    <w:rsid w:val="630453E7"/>
    <w:rsid w:val="63185A5A"/>
    <w:rsid w:val="634A5006"/>
    <w:rsid w:val="63870057"/>
    <w:rsid w:val="642E715A"/>
    <w:rsid w:val="64600B31"/>
    <w:rsid w:val="6526621F"/>
    <w:rsid w:val="6551044C"/>
    <w:rsid w:val="65921A6D"/>
    <w:rsid w:val="66FE3A08"/>
    <w:rsid w:val="67972F1E"/>
    <w:rsid w:val="680C6625"/>
    <w:rsid w:val="6A173F70"/>
    <w:rsid w:val="6A524488"/>
    <w:rsid w:val="6A804EF2"/>
    <w:rsid w:val="6B480735"/>
    <w:rsid w:val="6CC73384"/>
    <w:rsid w:val="6D6D0B45"/>
    <w:rsid w:val="6DD62184"/>
    <w:rsid w:val="6E890C0D"/>
    <w:rsid w:val="6EA66863"/>
    <w:rsid w:val="6EAC5CB6"/>
    <w:rsid w:val="6F8557CC"/>
    <w:rsid w:val="70234DFB"/>
    <w:rsid w:val="70B15E4D"/>
    <w:rsid w:val="722263AA"/>
    <w:rsid w:val="72301086"/>
    <w:rsid w:val="724E4C54"/>
    <w:rsid w:val="727F78E4"/>
    <w:rsid w:val="72BB1022"/>
    <w:rsid w:val="73084835"/>
    <w:rsid w:val="733A7128"/>
    <w:rsid w:val="73442687"/>
    <w:rsid w:val="73701AB5"/>
    <w:rsid w:val="738A49B5"/>
    <w:rsid w:val="73E4715F"/>
    <w:rsid w:val="74007BC6"/>
    <w:rsid w:val="742959A7"/>
    <w:rsid w:val="74485068"/>
    <w:rsid w:val="75565FB6"/>
    <w:rsid w:val="75660212"/>
    <w:rsid w:val="75C96B43"/>
    <w:rsid w:val="75D3171F"/>
    <w:rsid w:val="768253C4"/>
    <w:rsid w:val="76AB1BE4"/>
    <w:rsid w:val="76BF04D0"/>
    <w:rsid w:val="76C56A0A"/>
    <w:rsid w:val="770E2676"/>
    <w:rsid w:val="77492494"/>
    <w:rsid w:val="77813A26"/>
    <w:rsid w:val="77B50811"/>
    <w:rsid w:val="7827378D"/>
    <w:rsid w:val="786F4330"/>
    <w:rsid w:val="7AB76B8A"/>
    <w:rsid w:val="7ACD15DB"/>
    <w:rsid w:val="7B047624"/>
    <w:rsid w:val="7BB930B8"/>
    <w:rsid w:val="7D1B797D"/>
    <w:rsid w:val="7D5B2DE4"/>
    <w:rsid w:val="7DB60B20"/>
    <w:rsid w:val="7DE024A3"/>
    <w:rsid w:val="7DFD659E"/>
    <w:rsid w:val="7EC04826"/>
    <w:rsid w:val="7EC172D3"/>
    <w:rsid w:val="7EC3411C"/>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3"/>
    <w:qFormat/>
    <w:uiPriority w:val="0"/>
    <w:pPr>
      <w:keepNext/>
      <w:spacing w:line="400" w:lineRule="atLeast"/>
      <w:jc w:val="center"/>
      <w:outlineLvl w:val="1"/>
    </w:pPr>
    <w:rPr>
      <w:spacing w:val="8"/>
      <w:sz w:val="36"/>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31</Pages>
  <Words>4719</Words>
  <Characters>26903</Characters>
  <Lines>224</Lines>
  <Paragraphs>63</Paragraphs>
  <TotalTime>9</TotalTime>
  <ScaleCrop>false</ScaleCrop>
  <LinksUpToDate>false</LinksUpToDate>
  <CharactersWithSpaces>31559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2020-06-08T16:14:00Z</dcterms:created>
  <dc:creator>微软用户</dc:creator>
  <cp:lastModifiedBy>Lenovo</cp:lastModifiedBy>
  <cp:lastPrinted>2019-05-13T03:19:00Z</cp:lastPrinted>
  <dcterms:modified xsi:type="dcterms:W3CDTF">2021-04-09T13:21:44Z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12FF849FAAEC4C4D9AB37C3A6F6666B8</vt:lpwstr>
  </property>
</Properties>
</file>