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18"/>
        <w:gridCol w:w="124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襄阳博航金属磨料有限公司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襄阳市襄城区环山路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关宏光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0710-3267035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0" w:name="最高管理者"/>
            <w:bookmarkEnd w:id="0"/>
            <w:r>
              <w:rPr>
                <w:sz w:val="21"/>
                <w:szCs w:val="21"/>
              </w:rPr>
              <w:t>关宏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  <w:r>
              <w:rPr>
                <w:sz w:val="21"/>
                <w:szCs w:val="21"/>
              </w:rPr>
              <w:t>2158148601@qq.com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0197-2021-Q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金属磨料（钢丸、钢砂）的生产和销售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17.01.00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5" w:name="审核日期安排"/>
            <w:r>
              <w:rPr>
                <w:rFonts w:hint="eastAsia"/>
                <w:b/>
                <w:sz w:val="20"/>
              </w:rPr>
              <w:t>2021年04月01日 上午至2021年04月02日 下午 (共2.0天)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5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关宁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338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17.01.00</w:t>
            </w:r>
          </w:p>
        </w:tc>
        <w:tc>
          <w:tcPr>
            <w:tcW w:w="17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13995709760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951" w:type="dxa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3386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58" w:type="dxa"/>
            <w:gridSpan w:val="6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8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5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2021.3.31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2021.3.31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2021.4.1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ind w:firstLine="2100" w:firstLineChars="10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全 体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8:30-17:00</w:t>
            </w:r>
          </w:p>
          <w:p>
            <w:pPr>
              <w:pStyle w:val="2"/>
              <w:rPr>
                <w:rFonts w:hint="default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Q:5.3/6.1/6.2/6.3/7.1.2/7.5.3/9.1.3/9.2/10.2/10.3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组织的知识，人力资源情况、人员情况核实，文件化信息、内部审核，目标；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Q:5.3/6.2/8.2/8.4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部门职责、产品采购、销售情况控制情况，仓库管理情况，目标及管理方案的可行性、顾客满意度等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2021.4.2</w:t>
            </w: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8:00-16:30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Q:5.3/6.2/7.1.3/7.1.4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/8.1/8.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设备管理、特种设备控制，，产品与服务工艺、特殊过程识别情况等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Q:5.3/6.2/7.1.5/8.6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/8.7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部门职责、目标完成情况、采购产品的验证、过程控制、成品的放行等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:30-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与总经理沟通  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675B95"/>
    <w:rsid w:val="20970C48"/>
    <w:rsid w:val="230D3D59"/>
    <w:rsid w:val="46BD0BBB"/>
    <w:rsid w:val="621910D5"/>
    <w:rsid w:val="6CE87D60"/>
    <w:rsid w:val="6DF24057"/>
    <w:rsid w:val="704D0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2021-04-02T14:38:28Z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4C5307276B354CB0A4B911995596A5DC</vt:lpwstr>
  </property>
</Properties>
</file>