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简阳绿杉新能源设备有限公司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Q：29.10.07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销售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投标/业务洽谈→签订合同→采购→物资检验→交付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。</w:t>
            </w:r>
            <w:bookmarkStart w:id="6" w:name="_GoBack"/>
            <w:bookmarkEnd w:id="6"/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销售为关键过程。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火灾和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固废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，采取管理方案和应急处理方案控制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火灾、车辆伤害采取制定管理方案控制，潜在火灾采取应急预案并演练方式进行控制。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中华人民共和国合同法、中华人民共和国劳动法、中华人民共和国安全消防法、中华人民共和国劳动合同法、中华人民共和国产品质量法、中华人民共和国安全生产法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GBT36227-2018特大型空气分离设备国家标准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ＺＢＪ760151—89《小型空气分离设备技术条件》和ＺＢＪ760152—89《小型空气分离设备性能试验方法》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天然气分离与液化设备 术语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JB/T 7551-1994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空气分离设备术语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GB/T 10606-2008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和合同协议等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公司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销售的产品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只对名称、规格型号、外观、质量证明等进行验证；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最终销售产品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质量由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顾客负责验收。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62865</wp:posOffset>
            </wp:positionV>
            <wp:extent cx="803910" cy="498475"/>
            <wp:effectExtent l="0" t="0" r="3810" b="4445"/>
            <wp:wrapNone/>
            <wp:docPr id="1" name="图片 1" descr="杨珍全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杨珍全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1237615</wp:posOffset>
            </wp:positionH>
            <wp:positionV relativeFrom="paragraph">
              <wp:posOffset>69215</wp:posOffset>
            </wp:positionV>
            <wp:extent cx="803910" cy="498475"/>
            <wp:effectExtent l="0" t="0" r="3810" b="4445"/>
            <wp:wrapNone/>
            <wp:docPr id="2" name="图片 1" descr="杨珍全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杨珍全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2021.4.2</w:t>
      </w:r>
      <w:r>
        <w:rPr>
          <w:rFonts w:ascii="宋体"/>
          <w:b/>
          <w:sz w:val="21"/>
          <w:szCs w:val="21"/>
        </w:rPr>
        <w:t xml:space="preserve"> 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2021.4.2</w:t>
      </w:r>
      <w:r>
        <w:rPr>
          <w:rFonts w:ascii="宋体"/>
          <w:b/>
          <w:sz w:val="21"/>
          <w:szCs w:val="21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ind w:firstLine="169" w:firstLineChars="10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D6858EF"/>
    <w:rsid w:val="344C15B1"/>
    <w:rsid w:val="55E754EE"/>
    <w:rsid w:val="562872F8"/>
    <w:rsid w:val="7B7C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2021-04-02T03:10:57Z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545DD5C206304C1182C53FFF574C62CB</vt:lpwstr>
  </property>
</Properties>
</file>