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沧州金泓特种电缆有限公司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Q：19.11.02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原材料—拉丝—绞线—绝缘挤出—承揽护套挤出—成品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绝缘挤出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GB/T14049-2008《额定电压10kV架空绝缘电缆》、 GB/T 9330.3-2008《塑料绝缘控制电缆第3部分_交联聚乙烯绝缘控制电缆》、GB/T 12706.1-2008 《额定电压1kV(Um=1.2kV)到35kV(Um=40.5kV)挤包绝缘电力电缆及附件第1部分:额定电压1kV(Um=1.2kV)和3kV(Um=3.6kV)电缆》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外观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/结构尺寸/电性能/绝缘机械性能/护套机械性能/燃烧性能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2021.4.7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2021.4.7</w:t>
      </w:r>
      <w:r>
        <w:rPr>
          <w:rFonts w:ascii="宋体"/>
          <w:b/>
          <w:sz w:val="22"/>
          <w:szCs w:val="22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BA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2021-04-10T02:51:39Z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711AED751E6E4439A9781FA2DEBCCD5D</vt:lpwstr>
  </property>
</Properties>
</file>