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0236-2021-EnMs</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湖北谷城县东华机械股份有限公司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hint="eastAsia"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lang w:val="en-US" w:eastAsia="zh-CN"/>
        </w:rPr>
        <w:t>能源</w:t>
      </w:r>
      <w:r>
        <w:rPr>
          <w:rFonts w:hint="eastAsia" w:ascii="楷体" w:hAnsi="楷体" w:eastAsia="楷体"/>
          <w:b/>
          <w:color w:val="000000"/>
          <w:sz w:val="32"/>
          <w:szCs w:val="32"/>
        </w:rPr>
        <w:t>管理体系（</w:t>
      </w:r>
      <w:r>
        <w:rPr>
          <w:rFonts w:ascii="楷体" w:hAnsi="楷体" w:eastAsia="楷体"/>
          <w:b/>
          <w:color w:val="000000"/>
          <w:sz w:val="32"/>
          <w:szCs w:val="32"/>
        </w:rPr>
        <w:t>E</w:t>
      </w:r>
      <w:r>
        <w:rPr>
          <w:rFonts w:hint="eastAsia" w:ascii="楷体" w:hAnsi="楷体" w:eastAsia="楷体"/>
          <w:b/>
          <w:color w:val="000000"/>
          <w:sz w:val="32"/>
          <w:szCs w:val="32"/>
          <w:lang w:val="en-US" w:eastAsia="zh-CN"/>
        </w:rPr>
        <w:t>n</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94" w:afterLines="30"/>
        <w:ind w:firstLine="2059" w:firstLineChars="641"/>
        <w:rPr>
          <w:rFonts w:hint="eastAsia" w:ascii="楷体" w:hAnsi="楷体" w:eastAsia="楷体"/>
          <w:b/>
          <w:color w:val="000000"/>
          <w:sz w:val="32"/>
          <w:szCs w:val="32"/>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姜小清</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能源管理体系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default" w:ascii="宋体" w:eastAsia="宋体"/>
          <w:b/>
          <w:color w:val="000000"/>
          <w:sz w:val="20"/>
          <w:szCs w:val="20"/>
          <w:lang w:val="en-US" w:eastAsia="zh-CN"/>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w:t>
      </w:r>
      <w:r>
        <w:rPr>
          <w:rFonts w:hint="eastAsia" w:ascii="宋体" w:hAnsi="宋体"/>
          <w:b/>
          <w:color w:val="000000"/>
          <w:sz w:val="20"/>
          <w:szCs w:val="20"/>
          <w:lang w:val="en-US" w:eastAsia="zh-CN"/>
        </w:rPr>
        <w:t>333</w:t>
      </w:r>
      <w:r>
        <w:rPr>
          <w:rFonts w:ascii="宋体" w:hAnsi="宋体"/>
          <w:b/>
          <w:color w:val="000000"/>
          <w:sz w:val="20"/>
          <w:szCs w:val="20"/>
          <w:lang w:val="de-DE"/>
        </w:rPr>
        <w:t>1-20</w:t>
      </w:r>
      <w:r>
        <w:rPr>
          <w:rFonts w:hint="eastAsia" w:ascii="宋体" w:hAnsi="宋体"/>
          <w:b/>
          <w:color w:val="000000"/>
          <w:sz w:val="20"/>
          <w:szCs w:val="20"/>
          <w:lang w:val="en-US" w:eastAsia="zh-CN"/>
        </w:rPr>
        <w:t>20/ISO50001-2018</w:t>
      </w:r>
    </w:p>
    <w:p>
      <w:pPr>
        <w:spacing w:line="300" w:lineRule="auto"/>
        <w:ind w:left="420" w:leftChars="200"/>
        <w:rPr>
          <w:rFonts w:hint="default" w:ascii="宋体" w:eastAsia="宋体"/>
          <w:b/>
          <w:color w:val="000000"/>
          <w:spacing w:val="-4"/>
          <w:sz w:val="20"/>
          <w:szCs w:val="20"/>
          <w:lang w:val="en-US" w:eastAsia="zh-CN"/>
        </w:rPr>
      </w:pPr>
      <w:bookmarkStart w:id="7" w:name="S勾选Add1"/>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001-201</w:t>
      </w:r>
      <w:r>
        <w:rPr>
          <w:rFonts w:hint="eastAsia" w:ascii="宋体" w:hAnsi="宋体"/>
          <w:b/>
          <w:color w:val="000000"/>
          <w:sz w:val="20"/>
          <w:szCs w:val="20"/>
          <w:lang w:val="en-US" w:eastAsia="zh-CN"/>
        </w:rPr>
        <w:t>8</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z w:val="20"/>
          <w:szCs w:val="20"/>
          <w:lang w:val="de-DE" w:eastAsia="zh-CN"/>
        </w:rPr>
        <w:t>☑</w:t>
      </w:r>
      <w:r>
        <w:rPr>
          <w:rFonts w:hint="eastAsia"/>
          <w:b/>
          <w:color w:val="000000"/>
          <w:sz w:val="22"/>
          <w:szCs w:val="22"/>
          <w:lang w:val="en-US" w:eastAsia="zh-CN"/>
        </w:rPr>
        <w:t>RB/T</w:t>
      </w:r>
      <w:r>
        <w:rPr>
          <w:rFonts w:hint="eastAsia"/>
          <w:b/>
          <w:color w:val="000000"/>
          <w:sz w:val="22"/>
          <w:szCs w:val="22"/>
          <w:lang w:val="de-DE" w:eastAsia="zh-CN"/>
        </w:rPr>
        <w:t xml:space="preserve"> </w:t>
      </w:r>
      <w:r>
        <w:rPr>
          <w:rFonts w:hint="eastAsia"/>
          <w:b/>
          <w:color w:val="000000"/>
          <w:sz w:val="22"/>
          <w:szCs w:val="22"/>
          <w:lang w:val="en-US" w:eastAsia="zh-CN"/>
        </w:rPr>
        <w:t>119-2015《</w:t>
      </w:r>
      <w:r>
        <w:rPr>
          <w:rFonts w:hint="default"/>
          <w:b/>
          <w:color w:val="000000"/>
          <w:sz w:val="22"/>
          <w:szCs w:val="22"/>
          <w:lang w:val="en-US" w:eastAsia="zh-CN"/>
        </w:rPr>
        <w:t>能源管理体系 机械制造企业认证要求</w:t>
      </w:r>
      <w:r>
        <w:rPr>
          <w:rFonts w:hint="eastAsia"/>
          <w:b/>
          <w:color w:val="000000"/>
          <w:sz w:val="22"/>
          <w:szCs w:val="22"/>
          <w:lang w:val="en-US" w:eastAsia="zh-CN"/>
        </w:rPr>
        <w:t>》</w:t>
      </w:r>
      <w:r>
        <w:rPr>
          <w:rFonts w:hint="default"/>
          <w:b/>
          <w:color w:val="000000"/>
          <w:sz w:val="22"/>
          <w:szCs w:val="22"/>
          <w:lang w:val="en-US" w:eastAsia="zh-CN"/>
        </w:rPr>
        <w:t xml:space="preserve"> </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w:t>
      </w:r>
      <w:r>
        <w:rPr>
          <w:rFonts w:hint="eastAsia" w:ascii="宋体" w:hAnsi="宋体"/>
          <w:b/>
          <w:color w:val="000000"/>
          <w:spacing w:val="-10"/>
          <w:sz w:val="20"/>
          <w:szCs w:val="20"/>
          <w:lang w:val="en-US" w:eastAsia="zh-CN"/>
        </w:rPr>
        <w:t xml:space="preserve">  </w:t>
      </w:r>
      <w:r>
        <w:rPr>
          <w:rFonts w:hint="eastAsia" w:ascii="宋体" w:hAnsi="宋体"/>
          <w:b/>
          <w:color w:val="000000"/>
          <w:spacing w:val="-10"/>
          <w:sz w:val="20"/>
          <w:szCs w:val="20"/>
        </w:rPr>
        <w:t>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672"/>
        <w:gridCol w:w="1222"/>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left"/>
              <w:rPr>
                <w:rFonts w:ascii="宋体"/>
                <w:b/>
                <w:color w:val="000000"/>
                <w:sz w:val="20"/>
                <w:szCs w:val="20"/>
                <w:u w:val="none"/>
              </w:rPr>
            </w:pPr>
            <w:bookmarkStart w:id="8" w:name="组织名称Add2"/>
            <w:r>
              <w:rPr>
                <w:rFonts w:hint="eastAsia" w:ascii="Times New Roman" w:hAnsi="Times New Roman" w:cs="Times New Roman"/>
                <w:color w:val="000000"/>
                <w:szCs w:val="21"/>
                <w:u w:val="none"/>
                <w:lang w:val="en-US" w:eastAsia="zh-CN"/>
              </w:rPr>
              <w:t>湖北谷城县东华机械股份有限公司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184" w:type="dxa"/>
            <w:gridSpan w:val="3"/>
          </w:tcPr>
          <w:p>
            <w:pPr>
              <w:spacing w:line="280" w:lineRule="exact"/>
              <w:rPr>
                <w:rFonts w:ascii="宋体"/>
                <w:b/>
                <w:color w:val="000000"/>
                <w:sz w:val="20"/>
                <w:szCs w:val="20"/>
              </w:rPr>
            </w:pPr>
            <w:bookmarkStart w:id="9" w:name="注册地址"/>
            <w:r>
              <w:rPr>
                <w:rFonts w:hint="eastAsia" w:ascii="Times New Roman" w:hAnsi="Times New Roman" w:cs="Times New Roman"/>
                <w:color w:val="000000"/>
                <w:szCs w:val="21"/>
                <w:u w:val="none"/>
                <w:lang w:val="en-US" w:eastAsia="zh-CN"/>
              </w:rPr>
              <w:t>湖北省谷城县石花镇武当路</w:t>
            </w:r>
            <w:bookmarkEnd w:id="9"/>
          </w:p>
        </w:tc>
        <w:tc>
          <w:tcPr>
            <w:tcW w:w="122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086" w:type="dxa"/>
          </w:tcPr>
          <w:p>
            <w:pPr>
              <w:spacing w:line="280" w:lineRule="exact"/>
              <w:rPr>
                <w:rFonts w:ascii="宋体"/>
                <w:b/>
                <w:color w:val="000000"/>
                <w:sz w:val="20"/>
                <w:szCs w:val="20"/>
              </w:rPr>
            </w:pPr>
            <w:bookmarkStart w:id="10" w:name="注册邮编"/>
            <w:r>
              <w:rPr>
                <w:rFonts w:ascii="宋体"/>
                <w:b/>
                <w:color w:val="000000"/>
                <w:sz w:val="20"/>
                <w:szCs w:val="20"/>
              </w:rPr>
              <w:t>441705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184" w:type="dxa"/>
            <w:gridSpan w:val="3"/>
          </w:tcPr>
          <w:p>
            <w:pPr>
              <w:spacing w:line="280" w:lineRule="exact"/>
              <w:rPr>
                <w:rFonts w:ascii="宋体"/>
                <w:b/>
                <w:color w:val="000000"/>
                <w:sz w:val="20"/>
                <w:szCs w:val="20"/>
              </w:rPr>
            </w:pPr>
            <w:bookmarkStart w:id="11" w:name="经营地址"/>
            <w:bookmarkEnd w:id="11"/>
            <w:r>
              <w:rPr>
                <w:rFonts w:hint="eastAsia"/>
                <w:color w:val="000000"/>
                <w:szCs w:val="21"/>
                <w:u w:val="none"/>
                <w:lang w:val="en-US" w:eastAsia="zh-CN"/>
              </w:rPr>
              <w:t>湖北省谷城县石花镇武当路(杨溪湾)经济开发区123号</w:t>
            </w:r>
            <w:r>
              <w:rPr>
                <w:rFonts w:hint="eastAsia"/>
                <w:color w:val="000000"/>
                <w:szCs w:val="21"/>
                <w:u w:val="single"/>
                <w:lang w:val="en-US" w:eastAsia="zh-CN"/>
              </w:rPr>
              <w:t xml:space="preserve"> </w:t>
            </w:r>
          </w:p>
        </w:tc>
        <w:tc>
          <w:tcPr>
            <w:tcW w:w="1222" w:type="dxa"/>
            <w:vMerge w:val="continue"/>
            <w:vAlign w:val="center"/>
          </w:tcPr>
          <w:p>
            <w:pPr>
              <w:spacing w:line="280" w:lineRule="exact"/>
              <w:jc w:val="center"/>
              <w:rPr>
                <w:rFonts w:ascii="宋体"/>
                <w:b/>
                <w:color w:val="000000"/>
                <w:sz w:val="20"/>
                <w:szCs w:val="20"/>
              </w:rPr>
            </w:pPr>
          </w:p>
        </w:tc>
        <w:tc>
          <w:tcPr>
            <w:tcW w:w="2086"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184" w:type="dxa"/>
            <w:gridSpan w:val="3"/>
          </w:tcPr>
          <w:p>
            <w:pPr>
              <w:spacing w:line="280" w:lineRule="exact"/>
              <w:rPr>
                <w:rFonts w:ascii="宋体"/>
                <w:b/>
                <w:color w:val="000000"/>
                <w:sz w:val="20"/>
                <w:szCs w:val="20"/>
              </w:rPr>
            </w:pPr>
            <w:r>
              <w:rPr>
                <w:rFonts w:hint="eastAsia"/>
                <w:color w:val="000000"/>
                <w:szCs w:val="21"/>
                <w:u w:val="none"/>
                <w:lang w:val="en-US" w:eastAsia="zh-CN"/>
              </w:rPr>
              <w:t>湖北省谷城县石花镇武当路(杨溪湾)经济开发区123号</w:t>
            </w:r>
            <w:r>
              <w:rPr>
                <w:rFonts w:hint="eastAsia"/>
                <w:color w:val="000000"/>
                <w:szCs w:val="21"/>
                <w:u w:val="single"/>
                <w:lang w:val="en-US" w:eastAsia="zh-CN"/>
              </w:rPr>
              <w:t xml:space="preserve"> </w:t>
            </w:r>
          </w:p>
        </w:tc>
        <w:tc>
          <w:tcPr>
            <w:tcW w:w="1222" w:type="dxa"/>
            <w:vMerge w:val="continue"/>
            <w:vAlign w:val="center"/>
          </w:tcPr>
          <w:p>
            <w:pPr>
              <w:spacing w:line="280" w:lineRule="exact"/>
              <w:jc w:val="center"/>
              <w:rPr>
                <w:rFonts w:ascii="宋体"/>
                <w:b/>
                <w:color w:val="000000"/>
                <w:sz w:val="20"/>
                <w:szCs w:val="20"/>
              </w:rPr>
            </w:pPr>
          </w:p>
        </w:tc>
        <w:tc>
          <w:tcPr>
            <w:tcW w:w="2086" w:type="dxa"/>
          </w:tcPr>
          <w:p>
            <w:pPr>
              <w:spacing w:line="280" w:lineRule="exact"/>
              <w:rPr>
                <w:rFonts w:ascii="宋体"/>
                <w:b/>
                <w:color w:val="000000"/>
                <w:sz w:val="20"/>
                <w:szCs w:val="20"/>
              </w:rPr>
            </w:pPr>
            <w:r>
              <w:rPr>
                <w:rFonts w:ascii="宋体"/>
                <w:b/>
                <w:color w:val="000000"/>
                <w:sz w:val="20"/>
                <w:szCs w:val="20"/>
              </w:rPr>
              <w:t>441705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3" w:name="联系人Add1"/>
            <w:r>
              <w:rPr>
                <w:rFonts w:hint="eastAsia" w:ascii="Times New Roman" w:hAnsi="Times New Roman" w:cs="Times New Roman"/>
                <w:color w:val="000000"/>
                <w:szCs w:val="21"/>
                <w:u w:val="none"/>
                <w:lang w:val="en-US" w:eastAsia="zh-CN"/>
              </w:rPr>
              <w:t>张成根</w:t>
            </w:r>
            <w:bookmarkEnd w:id="1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1672" w:type="dxa"/>
            <w:vAlign w:val="center"/>
          </w:tcPr>
          <w:p>
            <w:pPr>
              <w:spacing w:line="280" w:lineRule="exact"/>
              <w:jc w:val="center"/>
              <w:rPr>
                <w:rFonts w:ascii="宋体"/>
                <w:b/>
                <w:color w:val="000000"/>
                <w:sz w:val="20"/>
                <w:szCs w:val="20"/>
              </w:rPr>
            </w:pPr>
            <w:bookmarkStart w:id="14" w:name="联系人电话Add1"/>
            <w:r>
              <w:rPr>
                <w:rFonts w:hint="eastAsia" w:ascii="Times New Roman" w:hAnsi="Times New Roman" w:cs="Times New Roman"/>
                <w:color w:val="000000"/>
                <w:szCs w:val="21"/>
                <w:u w:val="none"/>
                <w:lang w:val="en-US" w:eastAsia="zh-CN"/>
              </w:rPr>
              <w:t>15897997029</w:t>
            </w:r>
            <w:bookmarkEnd w:id="14"/>
          </w:p>
        </w:tc>
        <w:tc>
          <w:tcPr>
            <w:tcW w:w="122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086" w:type="dxa"/>
          </w:tcPr>
          <w:p>
            <w:pPr>
              <w:spacing w:line="280" w:lineRule="exact"/>
              <w:rPr>
                <w:rFonts w:ascii="宋体"/>
                <w:b/>
                <w:color w:val="000000"/>
                <w:sz w:val="20"/>
                <w:szCs w:val="20"/>
              </w:rPr>
            </w:pPr>
            <w:bookmarkStart w:id="15" w:name="联系人传真Add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6" w:name="法人"/>
            <w:r>
              <w:rPr>
                <w:rFonts w:hint="eastAsia" w:ascii="Times New Roman" w:hAnsi="Times New Roman" w:cs="Times New Roman"/>
                <w:color w:val="000000"/>
                <w:szCs w:val="21"/>
                <w:u w:val="none"/>
                <w:lang w:val="en-US" w:eastAsia="zh-CN"/>
              </w:rPr>
              <w:t>王晓东</w:t>
            </w:r>
            <w:bookmarkEnd w:id="16"/>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1672" w:type="dxa"/>
          </w:tcPr>
          <w:p>
            <w:pPr>
              <w:rPr>
                <w:rFonts w:ascii="宋体"/>
                <w:b/>
                <w:color w:val="000000"/>
                <w:sz w:val="20"/>
                <w:szCs w:val="20"/>
              </w:rPr>
            </w:pPr>
            <w:bookmarkStart w:id="17" w:name="管理者代表"/>
            <w:r>
              <w:rPr>
                <w:rFonts w:hint="eastAsia" w:ascii="Times New Roman" w:hAnsi="Times New Roman" w:cs="Times New Roman"/>
                <w:color w:val="000000"/>
                <w:szCs w:val="21"/>
                <w:u w:val="none"/>
                <w:lang w:val="en-US" w:eastAsia="zh-CN"/>
              </w:rPr>
              <w:t>张成根</w:t>
            </w:r>
            <w:bookmarkEnd w:id="17"/>
          </w:p>
        </w:tc>
        <w:tc>
          <w:tcPr>
            <w:tcW w:w="1222" w:type="dxa"/>
          </w:tcPr>
          <w:p>
            <w:pPr>
              <w:jc w:val="center"/>
              <w:rPr>
                <w:rFonts w:ascii="宋体"/>
                <w:b/>
                <w:color w:val="000000"/>
                <w:sz w:val="20"/>
                <w:szCs w:val="20"/>
              </w:rPr>
            </w:pPr>
            <w:r>
              <w:rPr>
                <w:rFonts w:hint="eastAsia" w:ascii="宋体"/>
                <w:b/>
                <w:color w:val="000000"/>
                <w:sz w:val="20"/>
                <w:szCs w:val="20"/>
              </w:rPr>
              <w:t>邮箱</w:t>
            </w:r>
          </w:p>
        </w:tc>
        <w:tc>
          <w:tcPr>
            <w:tcW w:w="2086" w:type="dxa"/>
          </w:tcPr>
          <w:p>
            <w:pPr>
              <w:rPr>
                <w:rFonts w:ascii="宋体"/>
                <w:b/>
                <w:color w:val="000000"/>
                <w:sz w:val="20"/>
                <w:szCs w:val="20"/>
              </w:rPr>
            </w:pPr>
            <w:bookmarkStart w:id="18" w:name="联系人邮箱Add1"/>
            <w:r>
              <w:rPr>
                <w:rFonts w:hint="eastAsia" w:ascii="Times New Roman" w:hAnsi="Times New Roman" w:cs="Times New Roman"/>
                <w:color w:val="000000"/>
                <w:szCs w:val="21"/>
                <w:u w:val="none"/>
                <w:lang w:val="en-US" w:eastAsia="zh-CN"/>
              </w:rPr>
              <w:t>223167035@qq.com</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9" w:name="审核范围"/>
            <w:r>
              <w:rPr>
                <w:rFonts w:ascii="宋体" w:hAnsi="宋体"/>
                <w:b/>
                <w:color w:val="000000"/>
                <w:sz w:val="20"/>
                <w:szCs w:val="20"/>
              </w:rPr>
              <w:t>汽车零部件（熔模件）的制造及销售</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eastAsia" w:ascii="宋体" w:eastAsia="宋体"/>
                <w:b/>
                <w:color w:val="000000"/>
                <w:sz w:val="20"/>
                <w:szCs w:val="20"/>
                <w:lang w:val="en-US" w:eastAsia="zh-CN"/>
              </w:rPr>
            </w:pPr>
            <w:bookmarkStart w:id="20" w:name="专业代码"/>
            <w:r>
              <w:rPr>
                <w:rFonts w:ascii="宋体"/>
                <w:b/>
                <w:color w:val="000000"/>
                <w:sz w:val="20"/>
                <w:szCs w:val="20"/>
              </w:rPr>
              <w:t>2.</w:t>
            </w:r>
            <w:bookmarkEnd w:id="20"/>
            <w:r>
              <w:rPr>
                <w:rFonts w:hint="eastAsia" w:ascii="宋体"/>
                <w:b/>
                <w:color w:val="000000"/>
                <w:sz w:val="20"/>
                <w:szCs w:val="2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val="0"/>
          <w:bCs/>
          <w:color w:val="000000"/>
          <w:sz w:val="20"/>
          <w:szCs w:val="20"/>
          <w:lang w:val="en-US" w:eastAsia="zh-CN"/>
        </w:rPr>
      </w:pPr>
      <w:r>
        <w:rPr>
          <w:rFonts w:hint="eastAsia" w:ascii="宋体" w:hAnsi="宋体"/>
          <w:b/>
          <w:color w:val="000000"/>
          <w:sz w:val="20"/>
          <w:szCs w:val="20"/>
        </w:rPr>
        <w:t>部门：</w:t>
      </w:r>
      <w:r>
        <w:rPr>
          <w:rFonts w:hint="eastAsia" w:ascii="宋体" w:hAnsi="宋体"/>
          <w:b w:val="0"/>
          <w:bCs/>
          <w:color w:val="000000"/>
          <w:sz w:val="20"/>
          <w:szCs w:val="20"/>
          <w:lang w:val="en-US" w:eastAsia="zh-CN"/>
        </w:rPr>
        <w:t>管理层、综合部、生产部、采购部、研发部、财务部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cs="Times New Roman"/>
          <w:b w:val="0"/>
          <w:bCs/>
          <w:color w:val="000000"/>
          <w:sz w:val="20"/>
          <w:szCs w:val="20"/>
          <w:lang w:val="en-US" w:eastAsia="zh-CN"/>
        </w:rPr>
        <w:t>生产部下属运行车间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lang w:val="en-US" w:eastAsia="zh-CN"/>
              </w:rPr>
              <w:t>能源</w:t>
            </w: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lang w:val="en-US" w:eastAsia="zh-CN"/>
              </w:rPr>
              <w:t>能源</w:t>
            </w:r>
            <w:r>
              <w:rPr>
                <w:rFonts w:hint="eastAsia" w:ascii="宋体" w:hAnsi="宋体"/>
                <w:color w:val="000000"/>
                <w:sz w:val="20"/>
                <w:szCs w:val="20"/>
              </w:rPr>
              <w:t>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lang w:val="en-US" w:eastAsia="zh-CN"/>
              </w:rPr>
              <w:t>能源</w:t>
            </w:r>
            <w:r>
              <w:rPr>
                <w:rFonts w:hint="eastAsia" w:ascii="宋体" w:hAnsi="宋体"/>
                <w:color w:val="000000"/>
                <w:spacing w:val="-10"/>
                <w:sz w:val="20"/>
                <w:szCs w:val="20"/>
              </w:rPr>
              <w:t>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w:t>
            </w:r>
            <w:r>
              <w:rPr>
                <w:rFonts w:hint="eastAsia" w:ascii="宋体" w:hAnsi="宋体"/>
                <w:color w:val="000000"/>
                <w:sz w:val="20"/>
                <w:szCs w:val="20"/>
                <w:lang w:val="en-US" w:eastAsia="zh-CN"/>
              </w:rPr>
              <w:t>能源</w:t>
            </w:r>
            <w:r>
              <w:rPr>
                <w:rFonts w:hint="eastAsia" w:ascii="宋体" w:hAnsi="宋体"/>
                <w:color w:val="000000"/>
                <w:sz w:val="20"/>
                <w:szCs w:val="20"/>
              </w:rPr>
              <w:t>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lang w:val="en-US" w:eastAsia="zh-CN"/>
              </w:rPr>
              <w:t>能源</w:t>
            </w:r>
            <w:r>
              <w:rPr>
                <w:rFonts w:hint="eastAsia" w:ascii="宋体" w:hAnsi="宋体"/>
                <w:color w:val="000000"/>
                <w:sz w:val="20"/>
                <w:szCs w:val="20"/>
              </w:rPr>
              <w:t>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lang w:val="en-US" w:eastAsia="zh-CN"/>
              </w:rPr>
              <w:t>能源</w:t>
            </w:r>
            <w:r>
              <w:rPr>
                <w:rFonts w:hint="eastAsia" w:ascii="宋体" w:hAnsi="宋体"/>
                <w:color w:val="000000"/>
                <w:sz w:val="20"/>
                <w:szCs w:val="20"/>
              </w:rPr>
              <w:t>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hint="eastAsia" w:ascii="宋体" w:hAnsi="宋体" w:eastAsia="宋体"/>
                <w:color w:val="000000"/>
                <w:sz w:val="20"/>
                <w:szCs w:val="20"/>
                <w:lang w:val="en-US" w:eastAsia="zh-CN"/>
              </w:rPr>
            </w:pPr>
            <w:r>
              <w:rPr>
                <w:rFonts w:hint="eastAsia" w:ascii="宋体" w:hAnsi="宋体"/>
                <w:color w:val="000000"/>
                <w:sz w:val="20"/>
                <w:szCs w:val="20"/>
                <w:lang w:val="en-US" w:eastAsia="zh-CN"/>
              </w:rPr>
              <w:t>8、</w:t>
            </w:r>
            <w:r>
              <w:rPr>
                <w:rFonts w:hint="eastAsia" w:ascii="宋体" w:hAnsi="宋体"/>
                <w:b/>
                <w:color w:val="000000"/>
                <w:sz w:val="20"/>
                <w:szCs w:val="20"/>
              </w:rPr>
              <w:t>能源评审及能源评审输出的策划和控制（EnMS</w:t>
            </w:r>
            <w:r>
              <w:rPr>
                <w:rFonts w:ascii="宋体" w:hAnsi="宋体"/>
                <w:b/>
                <w:color w:val="000000"/>
                <w:sz w:val="20"/>
                <w:szCs w:val="20"/>
              </w:rPr>
              <w:t>）</w:t>
            </w:r>
          </w:p>
        </w:tc>
        <w:tc>
          <w:tcPr>
            <w:tcW w:w="970" w:type="dxa"/>
            <w:gridSpan w:val="2"/>
          </w:tcPr>
          <w:p>
            <w:pPr>
              <w:rPr>
                <w:rFonts w:hint="eastAsia" w:ascii="宋体" w:hAnsi="宋体"/>
                <w:color w:val="000000"/>
                <w:spacing w:val="-10"/>
                <w:sz w:val="20"/>
                <w:szCs w:val="20"/>
              </w:rPr>
            </w:pPr>
          </w:p>
        </w:tc>
        <w:tc>
          <w:tcPr>
            <w:tcW w:w="1308" w:type="dxa"/>
            <w:gridSpan w:val="2"/>
          </w:tcPr>
          <w:p>
            <w:pPr>
              <w:rPr>
                <w:rFonts w:hint="eastAsia"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hint="eastAsia" w:ascii="宋体" w:hAnsi="Times New Roman" w:eastAsia="宋体" w:cs="Times New Roman"/>
                <w:color w:val="000000"/>
                <w:kern w:val="2"/>
                <w:sz w:val="20"/>
                <w:szCs w:val="20"/>
                <w:lang w:val="en-US" w:eastAsia="zh-CN" w:bidi="ar-SA"/>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70" w:type="dxa"/>
            <w:gridSpan w:val="2"/>
            <w:vAlign w:val="top"/>
          </w:tcPr>
          <w:p>
            <w:pPr>
              <w:rPr>
                <w:rFonts w:hint="eastAsia"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hint="eastAsia"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hint="eastAsia"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70" w:type="dxa"/>
            <w:gridSpan w:val="2"/>
            <w:vAlign w:val="top"/>
          </w:tcPr>
          <w:p>
            <w:pPr>
              <w:rPr>
                <w:rFonts w:hint="eastAsia" w:ascii="宋体" w:hAnsi="宋体"/>
                <w:color w:val="000000"/>
                <w:sz w:val="20"/>
                <w:szCs w:val="20"/>
                <w:lang w:eastAsia="zh-CN"/>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hint="eastAsia"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hint="eastAsia"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70" w:type="dxa"/>
            <w:gridSpan w:val="2"/>
            <w:vAlign w:val="top"/>
          </w:tcPr>
          <w:p>
            <w:pPr>
              <w:rPr>
                <w:rFonts w:hint="eastAsia" w:ascii="宋体" w:hAnsi="宋体"/>
                <w:color w:val="000000"/>
                <w:sz w:val="20"/>
                <w:szCs w:val="20"/>
                <w:lang w:eastAsia="zh-CN"/>
              </w:rPr>
            </w:pP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充分</w:t>
            </w:r>
          </w:p>
        </w:tc>
        <w:tc>
          <w:tcPr>
            <w:tcW w:w="1308" w:type="dxa"/>
            <w:gridSpan w:val="2"/>
            <w:vAlign w:val="top"/>
          </w:tcPr>
          <w:p>
            <w:pPr>
              <w:rPr>
                <w:rFonts w:hint="eastAsia" w:ascii="宋体" w:hAnsi="宋体"/>
                <w:color w:val="000000"/>
                <w:sz w:val="20"/>
                <w:szCs w:val="20"/>
              </w:rPr>
            </w:pPr>
            <w:r>
              <w:rPr>
                <w:rFonts w:hint="eastAsia" w:ascii="宋体" w:hAnsi="宋体"/>
                <w:color w:val="000000"/>
                <w:sz w:val="20"/>
                <w:szCs w:val="20"/>
              </w:rPr>
              <w:t>□</w:t>
            </w:r>
            <w:r>
              <w:rPr>
                <w:rFonts w:hint="eastAsia" w:ascii="宋体" w:hAnsi="宋体"/>
                <w:color w:val="000000"/>
                <w:sz w:val="20"/>
                <w:szCs w:val="20"/>
                <w:highlight w:val="none"/>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hint="eastAsia" w:ascii="宋体" w:hAns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70" w:type="dxa"/>
            <w:gridSpan w:val="2"/>
            <w:vAlign w:val="top"/>
          </w:tcPr>
          <w:p>
            <w:pPr>
              <w:rPr>
                <w:rFonts w:hint="eastAsia" w:ascii="宋体" w:hAnsi="宋体"/>
                <w:color w:val="000000"/>
                <w:sz w:val="20"/>
                <w:szCs w:val="20"/>
                <w:lang w:eastAsia="zh-CN"/>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hint="eastAsia"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hint="eastAsia"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r>
              <w:rPr>
                <w:rFonts w:ascii="宋体"/>
                <w:color w:val="000000"/>
                <w:sz w:val="20"/>
                <w:szCs w:val="20"/>
              </w:rPr>
              <w:t xml:space="preserve"> </w:t>
            </w:r>
          </w:p>
        </w:tc>
        <w:tc>
          <w:tcPr>
            <w:tcW w:w="970" w:type="dxa"/>
            <w:gridSpan w:val="2"/>
            <w:vAlign w:val="top"/>
          </w:tcPr>
          <w:p>
            <w:pPr>
              <w:rPr>
                <w:rFonts w:hint="eastAsia" w:ascii="宋体" w:hAnsi="宋体"/>
                <w:color w:val="000000"/>
                <w:sz w:val="20"/>
                <w:szCs w:val="20"/>
                <w:lang w:eastAsia="zh-CN"/>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hint="eastAsia"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hint="eastAsia"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70" w:type="dxa"/>
            <w:gridSpan w:val="2"/>
            <w:vAlign w:val="top"/>
          </w:tcPr>
          <w:p>
            <w:pPr>
              <w:rPr>
                <w:rFonts w:hint="eastAsia" w:ascii="宋体" w:hAnsi="宋体"/>
                <w:color w:val="000000"/>
                <w:sz w:val="20"/>
                <w:szCs w:val="20"/>
                <w:lang w:eastAsia="zh-CN"/>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hint="eastAsia"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lang w:val="en-US" w:eastAsia="zh-CN"/>
              </w:rPr>
              <w:t>9</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hint="eastAsia" w:ascii="宋体" w:hAnsi="宋体"/>
                <w:b/>
                <w:color w:val="000000"/>
                <w:sz w:val="20"/>
                <w:szCs w:val="20"/>
                <w:lang w:val="en-US" w:eastAsia="zh-CN"/>
              </w:rPr>
              <w:t>10</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color w:val="000000"/>
                <w:szCs w:val="21"/>
                <w:u w:val="none"/>
                <w:lang w:val="en-US" w:eastAsia="zh-CN"/>
              </w:rPr>
              <w:t>汽车零配件及机械零部件</w:t>
            </w:r>
          </w:p>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服务：</w:t>
            </w:r>
            <w:r>
              <w:rPr>
                <w:rFonts w:hint="eastAsia" w:ascii="Times New Roman" w:hAnsi="Times New Roman" w:eastAsia="宋体" w:cs="Times New Roman"/>
                <w:color w:val="000000"/>
                <w:szCs w:val="21"/>
                <w:u w:val="none"/>
                <w:lang w:val="en-US" w:eastAsia="zh-CN"/>
              </w:rPr>
              <w:t>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val="0"/>
                <w:bCs/>
                <w:color w:val="000000"/>
                <w:sz w:val="20"/>
                <w:szCs w:val="20"/>
                <w:lang w:val="en-US" w:eastAsia="zh-CN"/>
              </w:rPr>
              <w:t>管理层、综合部、生产部、采购部、研发部、财务部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eastAsia="宋体" w:cs="Times New Roman"/>
                <w:b w:val="0"/>
                <w:bCs/>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color w:val="000000"/>
                <w:szCs w:val="21"/>
                <w:u w:val="single"/>
                <w:lang w:val="en-US" w:eastAsia="zh-CN"/>
              </w:rPr>
            </w:pPr>
            <w:r>
              <w:rPr>
                <w:rFonts w:hint="eastAsia" w:ascii="宋体" w:hAnsi="宋体"/>
                <w:color w:val="000000"/>
                <w:sz w:val="20"/>
                <w:szCs w:val="20"/>
              </w:rPr>
              <w:t>受审核方位于：</w:t>
            </w:r>
            <w:r>
              <w:rPr>
                <w:rFonts w:hint="eastAsia"/>
                <w:color w:val="000000"/>
                <w:szCs w:val="21"/>
                <w:u w:val="single"/>
                <w:lang w:val="en-US" w:eastAsia="zh-CN"/>
              </w:rPr>
              <w:t>湖北省谷城县石花镇武当路(杨溪湾)经济开发区123号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w:t>
            </w:r>
            <w:bookmarkStart w:id="21" w:name="_GoBack"/>
            <w:bookmarkEnd w:id="21"/>
            <w:r>
              <w:rPr>
                <w:rFonts w:hint="eastAsia" w:ascii="宋体"/>
                <w:color w:val="000000"/>
                <w:sz w:val="20"/>
                <w:szCs w:val="20"/>
              </w:rPr>
              <w:t>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default" w:ascii="宋体" w:hAnsi="宋体" w:cs="Times New Roman"/>
                <w:color w:val="000000"/>
                <w:sz w:val="20"/>
                <w:szCs w:val="20"/>
                <w:lang w:val="en-US" w:eastAsia="zh-CN"/>
              </w:rPr>
            </w:pPr>
            <w:r>
              <w:rPr>
                <w:rFonts w:hint="eastAsia" w:ascii="宋体" w:hAnsi="宋体"/>
                <w:color w:val="000000"/>
                <w:sz w:val="20"/>
                <w:szCs w:val="20"/>
              </w:rPr>
              <w:t>有种产品，</w:t>
            </w:r>
            <w:r>
              <w:rPr>
                <w:rFonts w:hint="eastAsia" w:ascii="宋体" w:hAnsi="宋体" w:cs="Times New Roman"/>
                <w:color w:val="000000"/>
                <w:sz w:val="20"/>
                <w:szCs w:val="20"/>
              </w:rPr>
              <w:t>规格型号种有条生产线，</w:t>
            </w:r>
            <w:r>
              <w:rPr>
                <w:rFonts w:hint="eastAsia" w:ascii="宋体" w:hAnsi="宋体" w:cs="Times New Roman"/>
                <w:color w:val="000000"/>
                <w:sz w:val="20"/>
                <w:szCs w:val="20"/>
                <w:lang w:val="en-US" w:eastAsia="zh-CN"/>
              </w:rPr>
              <w:t>有1种产品，2条生产线。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145</w:t>
            </w:r>
            <w:r>
              <w:rPr>
                <w:rFonts w:hint="eastAsia" w:ascii="宋体"/>
                <w:color w:val="000000"/>
                <w:sz w:val="20"/>
                <w:szCs w:val="20"/>
              </w:rPr>
              <w:t>人，其中管理人员：</w:t>
            </w:r>
            <w:r>
              <w:rPr>
                <w:rFonts w:hint="eastAsia" w:ascii="宋体"/>
                <w:color w:val="000000"/>
                <w:sz w:val="20"/>
                <w:szCs w:val="20"/>
                <w:lang w:val="en-US" w:eastAsia="zh-CN"/>
              </w:rPr>
              <w:t>15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▲能源管理体系重点关注（如生产装置、动力装置场所、主要用能设备管理、能源计量管理）</w:t>
            </w:r>
            <w:r>
              <w:rPr>
                <w:rFonts w:ascii="宋体" w:hAnsi="宋体"/>
                <w:b/>
                <w:color w:val="000000"/>
                <w:sz w:val="20"/>
                <w:szCs w:val="20"/>
              </w:rPr>
              <w:t xml:space="preserve">; </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highlight w:val="none"/>
                <w:lang w:val="en-US" w:eastAsia="zh-CN"/>
              </w:rPr>
              <w:t>生产车间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szCs w:val="21"/>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2020年1</w:t>
            </w:r>
            <w:r>
              <w:rPr>
                <w:rFonts w:hint="eastAsia"/>
                <w:szCs w:val="21"/>
                <w:lang w:val="en-US" w:eastAsia="zh-CN"/>
              </w:rPr>
              <w:t>1</w:t>
            </w:r>
            <w:r>
              <w:rPr>
                <w:rFonts w:hint="eastAsia"/>
                <w:szCs w:val="21"/>
              </w:rPr>
              <w:t>月</w:t>
            </w:r>
            <w:r>
              <w:rPr>
                <w:rFonts w:hint="eastAsia"/>
                <w:szCs w:val="21"/>
                <w:lang w:val="en-US" w:eastAsia="zh-CN"/>
              </w:rPr>
              <w:t>20</w:t>
            </w:r>
            <w:r>
              <w:rPr>
                <w:rFonts w:hint="eastAsia"/>
                <w:szCs w:val="21"/>
              </w:rPr>
              <w:t>日-</w:t>
            </w:r>
            <w:r>
              <w:rPr>
                <w:rFonts w:hint="eastAsia"/>
                <w:szCs w:val="21"/>
                <w:lang w:val="en-US" w:eastAsia="zh-CN"/>
              </w:rPr>
              <w:t>21</w:t>
            </w:r>
            <w:r>
              <w:rPr>
                <w:rFonts w:hint="eastAsia"/>
                <w:szCs w:val="21"/>
              </w:rPr>
              <w:t>日</w:t>
            </w:r>
            <w:r>
              <w:rPr>
                <w:rFonts w:hint="eastAsia"/>
                <w:szCs w:val="21"/>
                <w:lang w:val="en-US" w:eastAsia="zh-CN"/>
              </w:rPr>
              <w:t>组织策划实施了能源管理体系的内审。</w:t>
            </w:r>
          </w:p>
          <w:p>
            <w:pPr>
              <w:spacing w:line="260" w:lineRule="exact"/>
              <w:rPr>
                <w:rFonts w:ascii="宋体"/>
                <w:b/>
                <w:color w:val="000000"/>
                <w:sz w:val="20"/>
                <w:szCs w:val="20"/>
              </w:rPr>
            </w:pPr>
            <w:r>
              <w:rPr>
                <w:rFonts w:hint="eastAsia"/>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Times New Roman" w:hAnsi="Times New Roman" w:cs="Times New Roman"/>
                <w:szCs w:val="21"/>
                <w:lang w:val="en-US" w:eastAsia="zh-CN"/>
              </w:rPr>
              <w:t>能源管理体系检查了所有部门，和车间，检查了能源管理活动，共发现不合格0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b/>
                <w:color w:val="000000"/>
                <w:sz w:val="20"/>
                <w:szCs w:val="20"/>
              </w:rPr>
            </w:pPr>
            <w:r>
              <w:rPr>
                <w:rFonts w:hint="eastAsia" w:ascii="宋体" w:hAnsi="宋体"/>
                <w:b/>
                <w:color w:val="000000"/>
                <w:sz w:val="20"/>
                <w:szCs w:val="20"/>
              </w:rPr>
              <w:t>了解内审结论是什么？</w:t>
            </w:r>
            <w:r>
              <w:rPr>
                <w:rFonts w:hint="eastAsia"/>
                <w:szCs w:val="21"/>
              </w:rPr>
              <w:t>能源管理体系基本符合、基本有效、有待改进。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Times New Roman" w:hAnsi="Times New Roman" w:cs="Times New Roman"/>
                <w:szCs w:val="21"/>
                <w:lang w:val="en-US" w:eastAsia="zh-CN"/>
              </w:rPr>
              <w:t>对管理评审进行了策划，并于2020.1</w:t>
            </w:r>
            <w:r>
              <w:rPr>
                <w:rFonts w:hint="eastAsia" w:cs="Times New Roman"/>
                <w:szCs w:val="21"/>
                <w:lang w:val="en-US" w:eastAsia="zh-CN"/>
              </w:rPr>
              <w:t>2</w:t>
            </w:r>
            <w:r>
              <w:rPr>
                <w:rFonts w:hint="eastAsia" w:ascii="Times New Roman" w:hAnsi="Times New Roman" w:cs="Times New Roman"/>
                <w:szCs w:val="21"/>
                <w:lang w:val="en-US" w:eastAsia="zh-CN"/>
              </w:rPr>
              <w:t>.</w:t>
            </w:r>
            <w:r>
              <w:rPr>
                <w:rFonts w:hint="eastAsia" w:cs="Times New Roman"/>
                <w:szCs w:val="21"/>
                <w:lang w:val="en-US" w:eastAsia="zh-CN"/>
              </w:rPr>
              <w:t>25</w:t>
            </w:r>
            <w:r>
              <w:rPr>
                <w:rFonts w:hint="eastAsia" w:ascii="Times New Roman" w:hAnsi="Times New Roman" w:cs="Times New Roman"/>
                <w:szCs w:val="21"/>
                <w:lang w:val="en-US" w:eastAsia="zh-CN"/>
              </w:rPr>
              <w:t>由最高管理者主持了能源管理评审。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Times New Roman" w:hAnsi="Times New Roman" w:cs="Times New Roman"/>
                <w:szCs w:val="21"/>
                <w:lang w:val="en-US" w:eastAsia="zh-CN"/>
              </w:rPr>
              <w:t>管理体系管理评审基本充分、符合要求；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Times New Roman" w:hAnsi="Times New Roman" w:cs="Times New Roman"/>
                <w:szCs w:val="21"/>
                <w:lang w:val="en-US" w:eastAsia="zh-CN"/>
              </w:rPr>
              <w:t>管理方针目标适宜，建立的管理体系基本适宜、充分、有效。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val="0"/>
                <w:bCs/>
                <w:color w:val="000000"/>
                <w:sz w:val="20"/>
                <w:szCs w:val="20"/>
                <w:lang w:val="en-US" w:eastAsia="zh-CN"/>
              </w:rPr>
              <w:t>企业的En体系的文件资料、资源、培训、基础设施、设备设施、体系的内审和管理评审已经完成，能源管理体系管理制度等已基本建立，文审提出的问题已基本整改。企业二阶段已做好准备。</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r>
              <w:rPr>
                <w:rFonts w:hint="eastAsia" w:ascii="宋体" w:hAnsi="宋体"/>
                <w:b/>
                <w:color w:val="000000"/>
                <w:sz w:val="20"/>
                <w:szCs w:val="20"/>
                <w:lang w:val="en-US" w:eastAsia="zh-CN"/>
              </w:rPr>
              <w:t>/</w:t>
            </w:r>
            <w:r>
              <w:rPr>
                <w:rFonts w:hint="eastAsia" w:ascii="宋体" w:hAnsi="宋体"/>
                <w:b/>
                <w:color w:val="000000"/>
                <w:spacing w:val="-10"/>
                <w:sz w:val="20"/>
                <w:szCs w:val="20"/>
                <w:lang w:val="de-DE" w:eastAsia="zh-CN"/>
              </w:rPr>
              <w:t>☑</w:t>
            </w:r>
            <w:r>
              <w:rPr>
                <w:rFonts w:ascii="宋体" w:hAnsi="宋体"/>
                <w:b/>
                <w:color w:val="000000"/>
                <w:sz w:val="20"/>
                <w:szCs w:val="20"/>
              </w:rPr>
              <w:t>E</w:t>
            </w:r>
            <w:r>
              <w:rPr>
                <w:rFonts w:hint="eastAsia" w:ascii="宋体" w:hAnsi="宋体"/>
                <w:b/>
                <w:color w:val="000000"/>
                <w:sz w:val="20"/>
                <w:szCs w:val="20"/>
                <w:lang w:val="en-US" w:eastAsia="zh-CN"/>
              </w:rPr>
              <w:t>n</w:t>
            </w:r>
            <w:r>
              <w:rPr>
                <w:rFonts w:ascii="宋体" w:hAnsi="宋体"/>
                <w:b/>
                <w:color w:val="000000"/>
                <w:sz w:val="20"/>
                <w:szCs w:val="20"/>
              </w:rPr>
              <w:t>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rPr>
          <w:rFonts w:hint="eastAsia" w:ascii="宋体" w:hAnsi="宋体"/>
        </w:rPr>
        <w:drawing>
          <wp:anchor distT="0" distB="0" distL="114300" distR="114300" simplePos="0" relativeHeight="251659264" behindDoc="0" locked="0" layoutInCell="1" allowOverlap="1">
            <wp:simplePos x="0" y="0"/>
            <wp:positionH relativeFrom="column">
              <wp:posOffset>1817370</wp:posOffset>
            </wp:positionH>
            <wp:positionV relativeFrom="page">
              <wp:posOffset>5198110</wp:posOffset>
            </wp:positionV>
            <wp:extent cx="480695" cy="427990"/>
            <wp:effectExtent l="0" t="0" r="1905" b="3810"/>
            <wp:wrapSquare wrapText="bothSides"/>
            <wp:docPr id="5"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553999692(1)"/>
                    <pic:cNvPicPr>
                      <a:picLocks noChangeAspect="1"/>
                    </pic:cNvPicPr>
                  </pic:nvPicPr>
                  <pic:blipFill>
                    <a:blip r:embed="rId6">
                      <a:lum bright="35999"/>
                    </a:blip>
                    <a:stretch>
                      <a:fillRect/>
                    </a:stretch>
                  </pic:blipFill>
                  <pic:spPr>
                    <a:xfrm>
                      <a:off x="0" y="0"/>
                      <a:ext cx="480695" cy="42799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300"/>
        <w:rPr>
          <w:rFonts w:hint="default" w:ascii="宋体" w:eastAsia="宋体"/>
          <w:b/>
          <w:color w:val="000000"/>
          <w:lang w:val="en-US" w:eastAsia="zh-CN"/>
        </w:rPr>
      </w:pPr>
      <w:r>
        <w:rPr>
          <w:rFonts w:hint="eastAsia" w:ascii="宋体" w:hAnsi="宋体"/>
          <w:color w:val="000000"/>
          <w:sz w:val="28"/>
          <w:szCs w:val="28"/>
        </w:rPr>
        <w:drawing>
          <wp:anchor distT="0" distB="0" distL="114300" distR="114300" simplePos="0" relativeHeight="251661312" behindDoc="0" locked="0" layoutInCell="1" allowOverlap="1">
            <wp:simplePos x="0" y="0"/>
            <wp:positionH relativeFrom="column">
              <wp:posOffset>2449830</wp:posOffset>
            </wp:positionH>
            <wp:positionV relativeFrom="paragraph">
              <wp:posOffset>28575</wp:posOffset>
            </wp:positionV>
            <wp:extent cx="688975" cy="308610"/>
            <wp:effectExtent l="0" t="0" r="9525" b="889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88975" cy="308610"/>
                    </a:xfrm>
                    <a:prstGeom prst="rect">
                      <a:avLst/>
                    </a:prstGeom>
                    <a:noFill/>
                    <a:ln>
                      <a:noFill/>
                    </a:ln>
                  </pic:spPr>
                </pic:pic>
              </a:graphicData>
            </a:graphic>
          </wp:anchor>
        </w:drawing>
      </w:r>
      <w:r>
        <w:rPr>
          <w:rFonts w:hint="eastAsia" w:ascii="宋体" w:hAnsi="宋体"/>
          <w:b/>
          <w:color w:val="000000"/>
        </w:rPr>
        <w:t>审核组组员</w:t>
      </w:r>
      <w:r>
        <w:rPr>
          <w:rFonts w:ascii="宋体" w:hAnsi="宋体" w:cs="Times New Roman"/>
          <w:b/>
          <w:color w:val="000000"/>
        </w:rPr>
        <w:t>(</w:t>
      </w:r>
      <w:r>
        <w:rPr>
          <w:rFonts w:hint="eastAsia" w:ascii="宋体" w:hAnsi="宋体" w:cs="Times New Roman"/>
          <w:b/>
          <w:color w:val="000000"/>
          <w:lang w:val="en-US" w:eastAsia="zh-CN"/>
        </w:rPr>
        <w:t>签名）</w:t>
      </w:r>
      <w:r>
        <w:rPr>
          <w:rFonts w:ascii="宋体" w:hAnsi="宋体"/>
          <w:b/>
          <w:color w:val="000000"/>
        </w:rPr>
        <w:t xml:space="preserve"> </w:t>
      </w:r>
      <w:r>
        <w:rPr>
          <w:rFonts w:hint="eastAsia" w:ascii="宋体" w:hAnsi="宋体"/>
          <w:b/>
          <w:color w:val="000000"/>
          <w:lang w:val="en-US" w:eastAsia="zh-CN"/>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2021.3.31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BF27EE"/>
    <w:rsid w:val="1C711154"/>
    <w:rsid w:val="1FD9391A"/>
    <w:rsid w:val="2BF81989"/>
    <w:rsid w:val="710C77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99" w:semiHidden="0"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2021-04-09T07:05:07Z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55F2DAFA43984A90A785CD634210173C</vt:lpwstr>
  </property>
</Properties>
</file>