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01"/>
        <w:gridCol w:w="1380"/>
        <w:gridCol w:w="2412"/>
        <w:gridCol w:w="735"/>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01" w:type="dxa"/>
            <w:vAlign w:val="center"/>
          </w:tcPr>
          <w:p>
            <w:pPr>
              <w:jc w:val="center"/>
              <w:rPr>
                <w:b/>
                <w:sz w:val="21"/>
                <w:szCs w:val="21"/>
              </w:rPr>
            </w:pPr>
            <w:r>
              <w:rPr>
                <w:rFonts w:hint="eastAsia"/>
                <w:b/>
                <w:sz w:val="21"/>
                <w:szCs w:val="21"/>
              </w:rPr>
              <w:t>职务</w:t>
            </w:r>
          </w:p>
        </w:tc>
        <w:tc>
          <w:tcPr>
            <w:tcW w:w="1380" w:type="dxa"/>
            <w:vAlign w:val="center"/>
          </w:tcPr>
          <w:p>
            <w:pPr>
              <w:jc w:val="center"/>
              <w:rPr>
                <w:b/>
                <w:sz w:val="21"/>
                <w:szCs w:val="21"/>
              </w:rPr>
            </w:pPr>
            <w:r>
              <w:rPr>
                <w:rFonts w:hint="eastAsia"/>
                <w:b/>
                <w:sz w:val="21"/>
                <w:szCs w:val="21"/>
              </w:rPr>
              <w:t>注册级别</w:t>
            </w:r>
          </w:p>
        </w:tc>
        <w:tc>
          <w:tcPr>
            <w:tcW w:w="2412" w:type="dxa"/>
            <w:vAlign w:val="center"/>
          </w:tcPr>
          <w:p>
            <w:pPr>
              <w:jc w:val="center"/>
              <w:rPr>
                <w:b/>
                <w:sz w:val="21"/>
                <w:szCs w:val="21"/>
              </w:rPr>
            </w:pPr>
            <w:r>
              <w:rPr>
                <w:rFonts w:hint="eastAsia"/>
                <w:b/>
                <w:sz w:val="21"/>
                <w:szCs w:val="21"/>
              </w:rPr>
              <w:t>审核员注册号</w:t>
            </w:r>
          </w:p>
        </w:tc>
        <w:tc>
          <w:tcPr>
            <w:tcW w:w="1470"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林兵</w:t>
            </w:r>
          </w:p>
        </w:tc>
        <w:tc>
          <w:tcPr>
            <w:tcW w:w="824" w:type="dxa"/>
            <w:gridSpan w:val="2"/>
            <w:vAlign w:val="center"/>
          </w:tcPr>
          <w:p>
            <w:pPr>
              <w:jc w:val="center"/>
              <w:rPr>
                <w:b/>
                <w:sz w:val="21"/>
                <w:szCs w:val="21"/>
              </w:rPr>
            </w:pPr>
            <w:r>
              <w:rPr>
                <w:b/>
                <w:sz w:val="21"/>
                <w:szCs w:val="21"/>
              </w:rPr>
              <w:t>男</w:t>
            </w:r>
          </w:p>
        </w:tc>
        <w:tc>
          <w:tcPr>
            <w:tcW w:w="1001" w:type="dxa"/>
            <w:vAlign w:val="center"/>
          </w:tcPr>
          <w:p>
            <w:pPr>
              <w:jc w:val="center"/>
              <w:rPr>
                <w:b/>
                <w:sz w:val="21"/>
                <w:szCs w:val="21"/>
              </w:rPr>
            </w:pPr>
            <w:r>
              <w:rPr>
                <w:b/>
                <w:sz w:val="21"/>
                <w:szCs w:val="21"/>
              </w:rPr>
              <w:t>组长</w:t>
            </w:r>
          </w:p>
        </w:tc>
        <w:tc>
          <w:tcPr>
            <w:tcW w:w="138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412" w:type="dxa"/>
            <w:vAlign w:val="center"/>
          </w:tcPr>
          <w:p>
            <w:pPr>
              <w:jc w:val="center"/>
              <w:rPr>
                <w:b/>
                <w:sz w:val="21"/>
                <w:szCs w:val="21"/>
              </w:rPr>
            </w:pPr>
            <w:r>
              <w:rPr>
                <w:b/>
                <w:sz w:val="21"/>
                <w:szCs w:val="21"/>
              </w:rPr>
              <w:t>2019-N1QMS-4059501</w:t>
            </w:r>
          </w:p>
          <w:p>
            <w:pPr>
              <w:jc w:val="center"/>
              <w:rPr>
                <w:b/>
                <w:sz w:val="21"/>
                <w:szCs w:val="21"/>
              </w:rPr>
            </w:pPr>
            <w:r>
              <w:rPr>
                <w:b/>
                <w:sz w:val="21"/>
                <w:szCs w:val="21"/>
              </w:rPr>
              <w:t>2020-N1EMS-3059501</w:t>
            </w:r>
          </w:p>
          <w:p>
            <w:pPr>
              <w:jc w:val="center"/>
              <w:rPr>
                <w:b/>
                <w:sz w:val="21"/>
                <w:szCs w:val="21"/>
              </w:rPr>
            </w:pPr>
            <w:r>
              <w:rPr>
                <w:b/>
                <w:sz w:val="21"/>
                <w:szCs w:val="21"/>
              </w:rPr>
              <w:t>2019-N1OHSMS-2059501</w:t>
            </w:r>
          </w:p>
        </w:tc>
        <w:tc>
          <w:tcPr>
            <w:tcW w:w="1470" w:type="dxa"/>
            <w:gridSpan w:val="2"/>
            <w:vAlign w:val="center"/>
          </w:tcPr>
          <w:p>
            <w:pPr>
              <w:jc w:val="center"/>
              <w:rPr>
                <w:b/>
                <w:sz w:val="21"/>
                <w:szCs w:val="21"/>
              </w:rPr>
            </w:pPr>
            <w:r>
              <w:rPr>
                <w:b/>
                <w:sz w:val="21"/>
                <w:szCs w:val="21"/>
              </w:rPr>
              <w:t>Q:18.05.07</w:t>
            </w:r>
          </w:p>
          <w:p>
            <w:pPr>
              <w:jc w:val="center"/>
              <w:rPr>
                <w:b/>
                <w:sz w:val="21"/>
                <w:szCs w:val="21"/>
              </w:rPr>
            </w:pPr>
            <w:r>
              <w:rPr>
                <w:b/>
                <w:sz w:val="21"/>
                <w:szCs w:val="21"/>
              </w:rPr>
              <w:t>O:18.05.07</w:t>
            </w:r>
          </w:p>
        </w:tc>
        <w:tc>
          <w:tcPr>
            <w:tcW w:w="1729" w:type="dxa"/>
            <w:gridSpan w:val="2"/>
            <w:vAlign w:val="center"/>
          </w:tcPr>
          <w:p>
            <w:pPr>
              <w:jc w:val="center"/>
              <w:rPr>
                <w:b/>
                <w:sz w:val="21"/>
                <w:szCs w:val="21"/>
              </w:rPr>
            </w:pPr>
            <w:r>
              <w:rPr>
                <w:b/>
                <w:sz w:val="21"/>
                <w:szCs w:val="21"/>
              </w:rPr>
              <w:t>ISC-59501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任泽华</w:t>
            </w:r>
          </w:p>
        </w:tc>
        <w:tc>
          <w:tcPr>
            <w:tcW w:w="824" w:type="dxa"/>
            <w:gridSpan w:val="2"/>
            <w:vAlign w:val="center"/>
          </w:tcPr>
          <w:p>
            <w:pPr>
              <w:jc w:val="center"/>
              <w:rPr>
                <w:b/>
                <w:sz w:val="21"/>
                <w:szCs w:val="21"/>
              </w:rPr>
            </w:pPr>
            <w:r>
              <w:rPr>
                <w:b/>
                <w:sz w:val="21"/>
                <w:szCs w:val="21"/>
              </w:rPr>
              <w:t>男</w:t>
            </w:r>
          </w:p>
        </w:tc>
        <w:tc>
          <w:tcPr>
            <w:tcW w:w="1001" w:type="dxa"/>
            <w:vAlign w:val="center"/>
          </w:tcPr>
          <w:p>
            <w:pPr>
              <w:jc w:val="center"/>
              <w:rPr>
                <w:b/>
                <w:sz w:val="21"/>
                <w:szCs w:val="21"/>
              </w:rPr>
            </w:pPr>
            <w:r>
              <w:rPr>
                <w:b/>
                <w:sz w:val="21"/>
                <w:szCs w:val="21"/>
              </w:rPr>
              <w:t>组员</w:t>
            </w:r>
          </w:p>
        </w:tc>
        <w:tc>
          <w:tcPr>
            <w:tcW w:w="138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O:专家</w:t>
            </w:r>
          </w:p>
          <w:p>
            <w:pPr>
              <w:jc w:val="center"/>
              <w:rPr>
                <w:b/>
                <w:sz w:val="21"/>
                <w:szCs w:val="21"/>
              </w:rPr>
            </w:pPr>
          </w:p>
        </w:tc>
        <w:tc>
          <w:tcPr>
            <w:tcW w:w="2412" w:type="dxa"/>
            <w:vAlign w:val="center"/>
          </w:tcPr>
          <w:p>
            <w:pPr>
              <w:jc w:val="center"/>
              <w:rPr>
                <w:b/>
                <w:sz w:val="21"/>
                <w:szCs w:val="21"/>
              </w:rPr>
            </w:pPr>
            <w:r>
              <w:rPr>
                <w:b/>
                <w:sz w:val="21"/>
                <w:szCs w:val="21"/>
              </w:rPr>
              <w:t>2019-N1QMS-3059498</w:t>
            </w:r>
          </w:p>
          <w:p>
            <w:pPr>
              <w:jc w:val="center"/>
              <w:rPr>
                <w:b/>
                <w:sz w:val="21"/>
                <w:szCs w:val="21"/>
              </w:rPr>
            </w:pPr>
            <w:r>
              <w:rPr>
                <w:b/>
                <w:sz w:val="21"/>
                <w:szCs w:val="21"/>
              </w:rPr>
              <w:t>2018-N1EMS-2059498</w:t>
            </w:r>
          </w:p>
          <w:p>
            <w:pPr>
              <w:jc w:val="center"/>
              <w:rPr>
                <w:b/>
                <w:sz w:val="21"/>
                <w:szCs w:val="21"/>
              </w:rPr>
            </w:pPr>
            <w:r>
              <w:rPr>
                <w:b/>
                <w:sz w:val="21"/>
                <w:szCs w:val="21"/>
              </w:rPr>
              <w:t>ISC-59498</w:t>
            </w:r>
          </w:p>
          <w:p>
            <w:pPr>
              <w:jc w:val="center"/>
              <w:rPr>
                <w:b/>
                <w:sz w:val="21"/>
                <w:szCs w:val="21"/>
              </w:rPr>
            </w:pPr>
            <w:r>
              <w:rPr>
                <w:b/>
                <w:sz w:val="21"/>
                <w:szCs w:val="21"/>
              </w:rPr>
              <w:t>杭州锐德技术有限公司</w:t>
            </w:r>
          </w:p>
        </w:tc>
        <w:tc>
          <w:tcPr>
            <w:tcW w:w="1470"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ISC-59498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王央央</w:t>
            </w:r>
          </w:p>
        </w:tc>
        <w:tc>
          <w:tcPr>
            <w:tcW w:w="824" w:type="dxa"/>
            <w:gridSpan w:val="2"/>
            <w:vAlign w:val="center"/>
          </w:tcPr>
          <w:p>
            <w:pPr>
              <w:jc w:val="center"/>
              <w:rPr>
                <w:b/>
                <w:sz w:val="21"/>
                <w:szCs w:val="21"/>
              </w:rPr>
            </w:pPr>
            <w:r>
              <w:rPr>
                <w:b/>
                <w:sz w:val="21"/>
                <w:szCs w:val="21"/>
              </w:rPr>
              <w:t>女</w:t>
            </w:r>
          </w:p>
        </w:tc>
        <w:tc>
          <w:tcPr>
            <w:tcW w:w="1001" w:type="dxa"/>
            <w:vAlign w:val="center"/>
          </w:tcPr>
          <w:p>
            <w:pPr>
              <w:jc w:val="center"/>
              <w:rPr>
                <w:b/>
                <w:sz w:val="21"/>
                <w:szCs w:val="21"/>
              </w:rPr>
            </w:pPr>
            <w:r>
              <w:rPr>
                <w:b/>
                <w:sz w:val="21"/>
                <w:szCs w:val="21"/>
              </w:rPr>
              <w:t>组员</w:t>
            </w:r>
          </w:p>
        </w:tc>
        <w:tc>
          <w:tcPr>
            <w:tcW w:w="138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412" w:type="dxa"/>
            <w:vAlign w:val="center"/>
          </w:tcPr>
          <w:p>
            <w:pPr>
              <w:jc w:val="center"/>
              <w:rPr>
                <w:b/>
                <w:sz w:val="21"/>
                <w:szCs w:val="21"/>
              </w:rPr>
            </w:pPr>
            <w:r>
              <w:rPr>
                <w:b/>
                <w:sz w:val="21"/>
                <w:szCs w:val="21"/>
              </w:rPr>
              <w:t>2020-N1QMS-1253196</w:t>
            </w:r>
          </w:p>
          <w:p>
            <w:pPr>
              <w:jc w:val="center"/>
              <w:rPr>
                <w:b/>
                <w:sz w:val="21"/>
                <w:szCs w:val="21"/>
              </w:rPr>
            </w:pPr>
            <w:r>
              <w:rPr>
                <w:b/>
                <w:sz w:val="21"/>
                <w:szCs w:val="21"/>
              </w:rPr>
              <w:t>2020-N1EMS-1253196</w:t>
            </w:r>
          </w:p>
          <w:p>
            <w:pPr>
              <w:jc w:val="center"/>
              <w:rPr>
                <w:b/>
                <w:sz w:val="21"/>
                <w:szCs w:val="21"/>
              </w:rPr>
            </w:pPr>
            <w:r>
              <w:rPr>
                <w:b/>
                <w:sz w:val="21"/>
                <w:szCs w:val="21"/>
              </w:rPr>
              <w:t>2020-N1OHSMS-1253196</w:t>
            </w:r>
          </w:p>
        </w:tc>
        <w:tc>
          <w:tcPr>
            <w:tcW w:w="1470" w:type="dxa"/>
            <w:gridSpan w:val="2"/>
            <w:vAlign w:val="center"/>
          </w:tcPr>
          <w:p>
            <w:pPr>
              <w:jc w:val="center"/>
              <w:rPr>
                <w:b/>
                <w:sz w:val="21"/>
                <w:szCs w:val="21"/>
              </w:rPr>
            </w:pPr>
            <w:r>
              <w:rPr>
                <w:b/>
                <w:sz w:val="21"/>
                <w:szCs w:val="21"/>
              </w:rPr>
              <w:t>Q:18.05.07</w:t>
            </w:r>
          </w:p>
          <w:p>
            <w:pPr>
              <w:jc w:val="center"/>
              <w:rPr>
                <w:b/>
                <w:sz w:val="21"/>
                <w:szCs w:val="21"/>
              </w:rPr>
            </w:pPr>
            <w:r>
              <w:rPr>
                <w:b/>
                <w:sz w:val="21"/>
                <w:szCs w:val="21"/>
              </w:rPr>
              <w:t>E:18.05.07</w:t>
            </w:r>
          </w:p>
          <w:p>
            <w:pPr>
              <w:jc w:val="center"/>
              <w:rPr>
                <w:b/>
                <w:sz w:val="21"/>
                <w:szCs w:val="21"/>
              </w:rPr>
            </w:pPr>
            <w:r>
              <w:rPr>
                <w:b/>
                <w:sz w:val="21"/>
                <w:szCs w:val="21"/>
              </w:rPr>
              <w:t>O:18.05.07</w:t>
            </w:r>
          </w:p>
        </w:tc>
        <w:tc>
          <w:tcPr>
            <w:tcW w:w="1729" w:type="dxa"/>
            <w:gridSpan w:val="2"/>
            <w:vAlign w:val="center"/>
          </w:tcPr>
          <w:p>
            <w:pPr>
              <w:jc w:val="center"/>
              <w:rPr>
                <w:b/>
                <w:sz w:val="21"/>
                <w:szCs w:val="21"/>
              </w:rPr>
            </w:pPr>
            <w:r>
              <w:rPr>
                <w:b/>
                <w:sz w:val="21"/>
                <w:szCs w:val="21"/>
              </w:rPr>
              <w:t>ISC[S]0359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01" w:type="dxa"/>
          </w:tcPr>
          <w:p>
            <w:pPr>
              <w:rPr>
                <w:b/>
                <w:sz w:val="21"/>
                <w:szCs w:val="21"/>
              </w:rPr>
            </w:pPr>
          </w:p>
        </w:tc>
        <w:tc>
          <w:tcPr>
            <w:tcW w:w="1380" w:type="dxa"/>
          </w:tcPr>
          <w:p>
            <w:pPr>
              <w:rPr>
                <w:b/>
                <w:sz w:val="21"/>
                <w:szCs w:val="21"/>
              </w:rPr>
            </w:pPr>
          </w:p>
        </w:tc>
        <w:tc>
          <w:tcPr>
            <w:tcW w:w="2412" w:type="dxa"/>
          </w:tcPr>
          <w:p>
            <w:pPr>
              <w:rPr>
                <w:b/>
                <w:sz w:val="21"/>
                <w:szCs w:val="21"/>
              </w:rPr>
            </w:pPr>
          </w:p>
        </w:tc>
        <w:tc>
          <w:tcPr>
            <w:tcW w:w="1470"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01" w:type="dxa"/>
            <w:vAlign w:val="center"/>
          </w:tcPr>
          <w:p>
            <w:pPr>
              <w:jc w:val="center"/>
              <w:rPr>
                <w:b/>
                <w:sz w:val="21"/>
                <w:szCs w:val="21"/>
              </w:rPr>
            </w:pPr>
            <w:r>
              <w:rPr>
                <w:rFonts w:hint="eastAsia"/>
                <w:b/>
                <w:sz w:val="21"/>
                <w:szCs w:val="21"/>
              </w:rPr>
              <w:t>角色</w:t>
            </w:r>
          </w:p>
        </w:tc>
        <w:tc>
          <w:tcPr>
            <w:tcW w:w="6991"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01" w:type="dxa"/>
            <w:vAlign w:val="center"/>
          </w:tcPr>
          <w:p>
            <w:pPr>
              <w:jc w:val="center"/>
              <w:rPr>
                <w:b/>
                <w:sz w:val="21"/>
                <w:szCs w:val="21"/>
              </w:rPr>
            </w:pPr>
          </w:p>
        </w:tc>
        <w:tc>
          <w:tcPr>
            <w:tcW w:w="6991"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01" w:type="dxa"/>
            <w:vAlign w:val="center"/>
          </w:tcPr>
          <w:p>
            <w:pPr>
              <w:jc w:val="center"/>
              <w:rPr>
                <w:b/>
              </w:rPr>
            </w:pPr>
          </w:p>
        </w:tc>
        <w:tc>
          <w:tcPr>
            <w:tcW w:w="6991"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01" w:type="dxa"/>
            <w:vAlign w:val="center"/>
          </w:tcPr>
          <w:p>
            <w:pPr>
              <w:jc w:val="center"/>
              <w:rPr>
                <w:b/>
              </w:rPr>
            </w:pPr>
          </w:p>
        </w:tc>
        <w:tc>
          <w:tcPr>
            <w:tcW w:w="6991"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GB/T </w:t>
      </w:r>
      <w:r>
        <w:rPr>
          <w:rFonts w:hint="eastAsia"/>
          <w:b/>
          <w:sz w:val="21"/>
          <w:szCs w:val="21"/>
          <w:lang w:val="en-US" w:eastAsia="zh-CN"/>
        </w:rPr>
        <w:t>45</w:t>
      </w:r>
      <w:r>
        <w:rPr>
          <w:rFonts w:hint="eastAsia"/>
          <w:b/>
          <w:sz w:val="21"/>
          <w:szCs w:val="21"/>
        </w:rPr>
        <w:t>001-20</w:t>
      </w:r>
      <w:r>
        <w:rPr>
          <w:rFonts w:hint="eastAsia"/>
          <w:b/>
          <w:sz w:val="21"/>
          <w:szCs w:val="21"/>
          <w:lang w:val="en-US" w:eastAsia="zh-CN"/>
        </w:rPr>
        <w:t xml:space="preserve">20 </w:t>
      </w:r>
      <w:r>
        <w:rPr>
          <w:rFonts w:hint="eastAsia"/>
          <w:b/>
          <w:sz w:val="21"/>
          <w:szCs w:val="21"/>
        </w:rPr>
        <w:t xml:space="preserve">idt </w:t>
      </w:r>
      <w:r>
        <w:rPr>
          <w:rFonts w:hint="eastAsia"/>
          <w:b/>
          <w:sz w:val="21"/>
          <w:szCs w:val="21"/>
          <w:lang w:val="en-US" w:eastAsia="zh-CN"/>
        </w:rPr>
        <w:t xml:space="preserve"> </w:t>
      </w:r>
      <w:r>
        <w:rPr>
          <w:rFonts w:hint="eastAsia"/>
          <w:b/>
          <w:sz w:val="21"/>
          <w:szCs w:val="21"/>
        </w:rPr>
        <w:t>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浙江屹立机器人科技有限公司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浙江省嘉兴市嘉善县罗星街道人民大道2355号7幢北车间</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314100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浙江省嘉兴市嘉善县罗星街道人民大道2355号7幢北车间</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314100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浙江省嘉兴市嘉善县罗星街道人民大道2355号7幢北车间</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314100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浦其炳</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13819322302</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许振红</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浦其炳</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2021年04月02日 上午至2021年04月03日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sz w:val="20"/>
              </w:rPr>
            </w:pPr>
            <w:bookmarkStart w:id="22" w:name="审核范围"/>
            <w:r>
              <w:rPr>
                <w:sz w:val="20"/>
              </w:rPr>
              <w:t>Q：桁架机器人和关节机器人组装</w:t>
            </w:r>
          </w:p>
          <w:p>
            <w:pPr>
              <w:rPr>
                <w:sz w:val="20"/>
              </w:rPr>
            </w:pPr>
            <w:r>
              <w:rPr>
                <w:sz w:val="20"/>
              </w:rPr>
              <w:t>E：桁架机器人和关节机器人组装所涉及的相关环境管理活动</w:t>
            </w:r>
          </w:p>
          <w:p>
            <w:pPr>
              <w:spacing w:line="360" w:lineRule="exact"/>
              <w:rPr>
                <w:rFonts w:ascii="宋体" w:hAnsi="宋体"/>
                <w:b/>
                <w:sz w:val="21"/>
                <w:szCs w:val="21"/>
              </w:rPr>
            </w:pPr>
            <w:r>
              <w:rPr>
                <w:sz w:val="20"/>
              </w:rPr>
              <w:t>O：桁架机器人和关节机器人组装所涉及的相关职业健康安全管理活动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Q：18.05.07</w:t>
            </w:r>
          </w:p>
          <w:p>
            <w:pPr>
              <w:spacing w:line="260" w:lineRule="exact"/>
              <w:rPr>
                <w:rFonts w:ascii="宋体" w:hAnsi="宋体"/>
                <w:b/>
                <w:sz w:val="21"/>
                <w:szCs w:val="21"/>
              </w:rPr>
            </w:pPr>
            <w:r>
              <w:rPr>
                <w:rFonts w:ascii="宋体" w:hAnsi="宋体"/>
                <w:b/>
                <w:sz w:val="21"/>
                <w:szCs w:val="21"/>
              </w:rPr>
              <w:t>E：18.05.07</w:t>
            </w:r>
          </w:p>
          <w:p>
            <w:pPr>
              <w:spacing w:line="260" w:lineRule="exact"/>
              <w:rPr>
                <w:rFonts w:ascii="宋体" w:hAnsi="宋体"/>
                <w:b/>
                <w:sz w:val="21"/>
                <w:szCs w:val="21"/>
              </w:rPr>
            </w:pPr>
            <w:r>
              <w:rPr>
                <w:rFonts w:ascii="宋体" w:hAnsi="宋体"/>
                <w:b/>
                <w:sz w:val="21"/>
                <w:szCs w:val="21"/>
              </w:rPr>
              <w:t>O：18.05.07</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val="en-US" w:eastAsia="zh-CN"/>
              </w:rPr>
            </w:pPr>
            <w:r>
              <w:rPr>
                <w:rFonts w:hint="eastAsia" w:ascii="宋体" w:hAnsi="宋体"/>
                <w:b/>
                <w:sz w:val="21"/>
                <w:szCs w:val="21"/>
              </w:rPr>
              <w:t>2020/5/28</w:t>
            </w:r>
            <w:r>
              <w:rPr>
                <w:rFonts w:hint="eastAsia" w:ascii="宋体" w:hAnsi="宋体"/>
                <w:b/>
                <w:sz w:val="21"/>
                <w:szCs w:val="21"/>
                <w:lang w:val="en-US" w:eastAsia="zh-CN"/>
              </w:rPr>
              <w:t>~</w:t>
            </w:r>
            <w:r>
              <w:rPr>
                <w:rFonts w:hint="eastAsia" w:ascii="宋体" w:hAnsi="宋体"/>
                <w:b/>
                <w:sz w:val="21"/>
                <w:szCs w:val="21"/>
              </w:rPr>
              <w:t>202</w:t>
            </w:r>
            <w:r>
              <w:rPr>
                <w:rFonts w:hint="eastAsia" w:ascii="宋体" w:hAnsi="宋体"/>
                <w:b/>
                <w:sz w:val="21"/>
                <w:szCs w:val="21"/>
                <w:lang w:val="en-US" w:eastAsia="zh-CN"/>
              </w:rPr>
              <w:t>3</w:t>
            </w:r>
            <w:r>
              <w:rPr>
                <w:rFonts w:hint="eastAsia" w:ascii="宋体" w:hAnsi="宋体"/>
                <w:b/>
                <w:sz w:val="21"/>
                <w:szCs w:val="21"/>
              </w:rPr>
              <w:t>/5/2</w:t>
            </w:r>
            <w:r>
              <w:rPr>
                <w:rFonts w:hint="eastAsia" w:ascii="宋体" w:hAnsi="宋体"/>
                <w:b/>
                <w:sz w:val="21"/>
                <w:szCs w:val="21"/>
                <w:lang w:val="en-US" w:eastAsia="zh-CN"/>
              </w:rPr>
              <w:t>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2020-5-10</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ascii="楷体" w:hAnsi="楷体" w:eastAsia="楷体"/>
                <w:color w:val="000000"/>
                <w:sz w:val="21"/>
                <w:szCs w:val="21"/>
                <w:lang w:val="en-US" w:eastAsia="zh-CN"/>
              </w:rPr>
              <w:t>2021年度重新识别，但内容与2020年类同。基本充分。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left="0" w:leftChars="0" w:firstLine="0" w:firstLineChars="0"/>
              <w:rPr>
                <w:rFonts w:ascii="宋体" w:hAnsi="宋体"/>
                <w:b/>
                <w:sz w:val="21"/>
                <w:szCs w:val="21"/>
              </w:rPr>
            </w:pPr>
            <w:r>
              <w:rPr>
                <w:rFonts w:hint="eastAsia" w:ascii="宋体" w:hAnsi="宋体"/>
                <w:b/>
                <w:sz w:val="21"/>
                <w:szCs w:val="21"/>
                <w:lang w:val="en-US" w:eastAsia="zh-CN"/>
              </w:rPr>
              <w:t xml:space="preserve">  </w:t>
            </w:r>
            <w:r>
              <w:rPr>
                <w:rFonts w:hint="eastAsia" w:ascii="楷体" w:hAnsi="楷体" w:eastAsia="楷体"/>
                <w:color w:val="000000"/>
                <w:sz w:val="21"/>
                <w:szCs w:val="21"/>
                <w:lang w:val="en-US" w:eastAsia="zh-CN"/>
              </w:rPr>
              <w:t xml:space="preserve"> 识别情况未变化。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2" w:firstLineChars="200"/>
              <w:rPr>
                <w:rFonts w:ascii="宋体" w:hAnsi="宋体"/>
                <w:b/>
                <w:sz w:val="21"/>
                <w:szCs w:val="21"/>
              </w:rPr>
            </w:pPr>
            <w:r>
              <w:rPr>
                <w:rFonts w:hint="eastAsia" w:ascii="宋体" w:hAnsi="宋体"/>
                <w:b/>
                <w:sz w:val="21"/>
                <w:szCs w:val="21"/>
                <w:lang w:val="en-US" w:eastAsia="zh-CN"/>
              </w:rPr>
              <w:t xml:space="preserve">  </w:t>
            </w:r>
            <w:r>
              <w:rPr>
                <w:rFonts w:hint="eastAsia" w:ascii="楷体" w:hAnsi="楷体" w:eastAsia="楷体"/>
                <w:color w:val="000000"/>
                <w:sz w:val="21"/>
                <w:szCs w:val="21"/>
                <w:lang w:val="en-US" w:eastAsia="zh-CN"/>
              </w:rPr>
              <w:t xml:space="preserve"> 方针未变化，近一年来，公司考虑</w:t>
            </w:r>
            <w:r>
              <w:rPr>
                <w:rFonts w:hint="eastAsia" w:ascii="楷体" w:hAnsi="楷体" w:eastAsia="楷体"/>
                <w:color w:val="000000"/>
                <w:sz w:val="21"/>
                <w:szCs w:val="21"/>
              </w:rPr>
              <w:t>预</w:t>
            </w:r>
            <w:r>
              <w:rPr>
                <w:rFonts w:hint="eastAsia" w:ascii="楷体" w:hAnsi="楷体" w:eastAsia="楷体"/>
                <w:sz w:val="21"/>
                <w:szCs w:val="21"/>
              </w:rPr>
              <w:t>期结果的各种外部和内部因素。</w:t>
            </w:r>
            <w:r>
              <w:rPr>
                <w:rFonts w:hint="eastAsia" w:ascii="楷体" w:hAnsi="楷体" w:eastAsia="楷体"/>
                <w:sz w:val="21"/>
                <w:szCs w:val="21"/>
                <w:lang w:val="en-US" w:eastAsia="zh-CN"/>
              </w:rPr>
              <w:t>持续强化公司方针的宣贯，</w:t>
            </w:r>
            <w:r>
              <w:rPr>
                <w:rFonts w:hint="eastAsia" w:ascii="楷体" w:hAnsi="楷体" w:eastAsia="楷体"/>
                <w:color w:val="000000"/>
                <w:sz w:val="21"/>
                <w:szCs w:val="21"/>
              </w:rPr>
              <w:t>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r>
              <w:rPr>
                <w:rFonts w:hint="eastAsia" w:ascii="宋体" w:hAnsi="宋体"/>
                <w:b/>
                <w:sz w:val="21"/>
                <w:szCs w:val="21"/>
                <w:lang w:val="en-US" w:eastAsia="zh-CN"/>
              </w:rPr>
              <w:t xml:space="preserve"> </w:t>
            </w:r>
          </w:p>
          <w:p>
            <w:pPr>
              <w:numPr>
                <w:ilvl w:val="0"/>
                <w:numId w:val="0"/>
              </w:numPr>
              <w:spacing w:line="280" w:lineRule="exact"/>
              <w:ind w:left="0" w:leftChars="0" w:firstLine="420" w:firstLineChars="200"/>
              <w:rPr>
                <w:rFonts w:ascii="宋体" w:hAnsi="宋体"/>
                <w:b/>
                <w:sz w:val="21"/>
                <w:szCs w:val="21"/>
              </w:rPr>
            </w:pPr>
            <w:r>
              <w:rPr>
                <w:rFonts w:hint="eastAsia" w:ascii="楷体" w:hAnsi="楷体" w:eastAsia="楷体"/>
                <w:sz w:val="21"/>
                <w:szCs w:val="21"/>
                <w:lang w:val="en-US" w:eastAsia="zh-CN"/>
              </w:rPr>
              <w:t>提供2021年度</w:t>
            </w:r>
            <w:r>
              <w:rPr>
                <w:rFonts w:hint="eastAsia" w:ascii="楷体" w:hAnsi="楷体" w:eastAsia="楷体"/>
                <w:sz w:val="21"/>
                <w:szCs w:val="21"/>
              </w:rPr>
              <w:t>《风险和机遇评估分析表》，风险和机遇及应对的措施策划适当符合要求。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val="en-US" w:eastAsia="zh-CN"/>
              </w:rPr>
              <w:t xml:space="preserve">部件采购、组装、调试过程； </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val="en-US" w:eastAsia="zh-CN"/>
              </w:rPr>
              <w:t xml:space="preserve">组装调试过程； </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无 </w:t>
            </w:r>
            <w:r>
              <w:rPr>
                <w:rFonts w:hint="eastAsia" w:ascii="宋体" w:hAnsi="宋体"/>
                <w:b/>
                <w:sz w:val="21"/>
                <w:szCs w:val="21"/>
              </w:rPr>
              <w:t>：</w:t>
            </w:r>
            <w:r>
              <w:rPr>
                <w:rFonts w:hint="eastAsia" w:ascii="宋体" w:hAnsi="宋体"/>
                <w:b/>
                <w:sz w:val="21"/>
                <w:szCs w:val="21"/>
                <w:lang w:val="en-US" w:eastAsia="zh-CN"/>
              </w:rPr>
              <w:t>无条款删减。技术部负责设计开发职责，近一年来无新</w:t>
            </w:r>
            <w:r>
              <w:rPr>
                <w:rFonts w:hint="eastAsia" w:ascii="宋体" w:hAnsi="宋体"/>
                <w:b/>
                <w:sz w:val="21"/>
                <w:szCs w:val="21"/>
                <w:u w:val="single"/>
                <w:lang w:val="en-US" w:eastAsia="zh-CN"/>
              </w:rPr>
              <w:t>的设计开发内容，条款不删减。</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lang w:val="en-US" w:eastAsia="zh-CN"/>
              </w:rPr>
              <w:t>近一年来，环境因素识别结果未变化。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lang w:val="en-US" w:eastAsia="zh-CN"/>
              </w:rPr>
              <w:t>近一年来，危险源识别结果未变化。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w:t>
            </w:r>
            <w:r>
              <w:rPr>
                <w:rFonts w:hint="eastAsia" w:ascii="宋体" w:hAnsi="宋体"/>
                <w:b/>
                <w:szCs w:val="21"/>
                <w:lang w:eastAsia="zh-CN"/>
              </w:rPr>
              <w:t>☑</w:t>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szCs w:val="21"/>
                <w:lang w:val="en-US" w:eastAsia="zh-CN"/>
              </w:rPr>
              <w:t>会议、培训及日常</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val="en-US" w:eastAsia="zh-CN"/>
              </w:rPr>
              <w:t>/</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b/>
                <w:sz w:val="21"/>
                <w:szCs w:val="21"/>
                <w:lang w:val="en-US" w:eastAsia="zh-CN"/>
              </w:rPr>
              <w:t xml:space="preserve">    建立的目标未变化，持续有效，可测量。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b/>
                <w:sz w:val="21"/>
                <w:szCs w:val="21"/>
                <w:lang w:val="en-US" w:eastAsia="zh-CN"/>
              </w:rPr>
              <w:t xml:space="preserve">    文件与记录未修改或增加。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b/>
                <w:sz w:val="21"/>
                <w:szCs w:val="21"/>
                <w:lang w:val="en-US" w:eastAsia="zh-CN"/>
              </w:rPr>
              <w:t xml:space="preserve">    中层以上管理人员相对稳定，未变化。操作员工有离职或新入职。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lang w:val="en-US" w:eastAsia="zh-CN"/>
              </w:rPr>
              <w:t xml:space="preserve">   设备设施未大的变化。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b/>
                <w:sz w:val="21"/>
                <w:szCs w:val="21"/>
                <w:lang w:val="en-US" w:eastAsia="zh-CN"/>
              </w:rPr>
              <w:t>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ascii="宋体" w:hAnsi="宋体"/>
                <w:b/>
                <w:sz w:val="21"/>
                <w:szCs w:val="21"/>
                <w:lang w:val="en-US" w:eastAsia="zh-CN"/>
              </w:rPr>
              <w:t>未添置新的测量设备；2021年已重新校准。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业务交流、技术方案改进等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b/>
                <w:sz w:val="21"/>
                <w:szCs w:val="21"/>
              </w:rPr>
            </w:pPr>
            <w:r>
              <w:rPr>
                <w:rFonts w:hint="eastAsia" w:ascii="宋体" w:hAnsi="宋体"/>
                <w:b/>
                <w:sz w:val="21"/>
                <w:szCs w:val="21"/>
                <w:lang w:val="en-US" w:eastAsia="zh-CN"/>
              </w:rPr>
              <w:t>未有大的改变或改造，组装过程无重大需监测环境因素。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b/>
                <w:sz w:val="21"/>
                <w:szCs w:val="21"/>
              </w:rPr>
            </w:pPr>
            <w:r>
              <w:rPr>
                <w:rFonts w:hint="eastAsia" w:ascii="宋体" w:hAnsi="宋体"/>
                <w:b/>
                <w:sz w:val="21"/>
                <w:szCs w:val="21"/>
                <w:lang w:val="en-US" w:eastAsia="zh-CN"/>
              </w:rPr>
              <w:t xml:space="preserve">  近一年来劳保用品购置数量增加，主要为防新冠疫情的口罩用品。生产上的劳保用品与往年差不多。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leftChars="0"/>
              <w:rPr>
                <w:rFonts w:hint="eastAsia" w:ascii="宋体" w:hAnsi="宋体"/>
                <w:b/>
                <w:sz w:val="21"/>
                <w:szCs w:val="21"/>
              </w:rPr>
            </w:pPr>
            <w:r>
              <w:rPr>
                <w:rFonts w:hint="eastAsia" w:ascii="宋体" w:hAnsi="宋体"/>
                <w:b/>
                <w:sz w:val="21"/>
                <w:szCs w:val="21"/>
                <w:lang w:val="en-US" w:eastAsia="zh-CN"/>
              </w:rPr>
              <w:t xml:space="preserve">    方针未变化，根据组织宗旨制定了管理体系方针，进行了有效沟通，在管理评审时进行评审，持续符合要求。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ascii="楷体_GB2312" w:eastAsia="楷体_GB2312"/>
                <w:b/>
                <w:color w:val="000000" w:themeColor="text1"/>
                <w:sz w:val="21"/>
                <w:szCs w:val="21"/>
              </w:rPr>
            </w:pPr>
            <w:r>
              <w:rPr>
                <w:rFonts w:hint="eastAsia" w:ascii="宋体" w:hAnsi="宋体"/>
                <w:b/>
                <w:sz w:val="21"/>
                <w:szCs w:val="21"/>
              </w:rPr>
              <w:t>内部沟通的情况：内部沟通方式：</w:t>
            </w:r>
            <w:r>
              <w:rPr>
                <w:rFonts w:hint="eastAsia"/>
                <w:sz w:val="21"/>
                <w:szCs w:val="21"/>
              </w:rPr>
              <w:t>培训、会议；</w:t>
            </w:r>
          </w:p>
          <w:p>
            <w:pPr>
              <w:rPr>
                <w:rFonts w:ascii="宋体" w:hAnsi="宋体"/>
                <w:b/>
                <w:sz w:val="21"/>
                <w:szCs w:val="21"/>
              </w:rPr>
            </w:pPr>
            <w:r>
              <w:rPr>
                <w:rFonts w:hint="eastAsia" w:ascii="楷体_GB2312" w:eastAsia="楷体_GB2312"/>
                <w:b/>
                <w:color w:val="000000" w:themeColor="text1"/>
                <w:sz w:val="21"/>
                <w:szCs w:val="21"/>
              </w:rPr>
              <w:t xml:space="preserve">                </w:t>
            </w:r>
            <w:r>
              <w:rPr>
                <w:rFonts w:hint="eastAsia" w:ascii="宋体" w:hAnsi="宋体"/>
                <w:b/>
                <w:sz w:val="21"/>
                <w:szCs w:val="21"/>
              </w:rPr>
              <w:t>内部沟通的效果：</w:t>
            </w:r>
            <w:r>
              <w:rPr>
                <w:rFonts w:hint="eastAsia"/>
                <w:sz w:val="21"/>
                <w:szCs w:val="21"/>
              </w:rPr>
              <w:t>沟通畅通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sz w:val="21"/>
                <w:szCs w:val="21"/>
              </w:rPr>
              <w:t>定期组织顾客满意度调查和走访。</w:t>
            </w:r>
          </w:p>
          <w:p>
            <w:pPr>
              <w:spacing w:line="240" w:lineRule="exact"/>
              <w:rPr>
                <w:rFonts w:ascii="宋体" w:hAnsi="宋体"/>
                <w:b/>
                <w:sz w:val="21"/>
                <w:szCs w:val="21"/>
              </w:rPr>
            </w:pPr>
          </w:p>
          <w:p>
            <w:pPr>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sz w:val="21"/>
                <w:szCs w:val="21"/>
              </w:rPr>
              <w:t>参加相关部门组织的会议，接收相关部门下达的通知并在公司内部沟通传达。</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 w:val="21"/>
                <w:szCs w:val="21"/>
              </w:rPr>
              <w:t>对</w:t>
            </w:r>
            <w:r>
              <w:rPr>
                <w:rFonts w:hint="eastAsia"/>
                <w:sz w:val="21"/>
                <w:szCs w:val="21"/>
                <w:lang w:val="en-US" w:eastAsia="zh-CN"/>
              </w:rPr>
              <w:t>相关</w:t>
            </w:r>
            <w:r>
              <w:rPr>
                <w:rFonts w:hint="eastAsia"/>
                <w:sz w:val="21"/>
                <w:szCs w:val="21"/>
              </w:rPr>
              <w:t>方进行了环保告知。</w:t>
            </w:r>
          </w:p>
          <w:p>
            <w:pPr>
              <w:spacing w:line="240" w:lineRule="exact"/>
              <w:rPr>
                <w:rFonts w:ascii="宋体" w:hAnsi="宋体"/>
                <w:b/>
                <w:sz w:val="21"/>
                <w:szCs w:val="21"/>
              </w:rPr>
            </w:pPr>
          </w:p>
          <w:p>
            <w:pPr>
              <w:spacing w:line="360" w:lineRule="auto"/>
              <w:rPr>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sz w:val="21"/>
                <w:szCs w:val="21"/>
              </w:rPr>
              <w:t>公司经选举确定了员工代表是</w:t>
            </w:r>
            <w:r>
              <w:rPr>
                <w:rFonts w:hint="eastAsia"/>
                <w:sz w:val="21"/>
                <w:szCs w:val="21"/>
                <w:lang w:val="en-US" w:eastAsia="zh-CN"/>
              </w:rPr>
              <w:t>徐成林、邵正祥</w:t>
            </w:r>
            <w:r>
              <w:rPr>
                <w:rFonts w:hint="eastAsia"/>
                <w:sz w:val="21"/>
                <w:szCs w:val="21"/>
              </w:rPr>
              <w:t>，</w:t>
            </w:r>
          </w:p>
          <w:p>
            <w:pPr>
              <w:spacing w:line="360" w:lineRule="auto"/>
              <w:rPr>
                <w:rFonts w:ascii="宋体" w:hAnsi="宋体"/>
                <w:b/>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sz w:val="21"/>
                <w:szCs w:val="21"/>
              </w:rPr>
              <w:t>对</w:t>
            </w:r>
            <w:r>
              <w:rPr>
                <w:rFonts w:hint="eastAsia"/>
                <w:sz w:val="21"/>
                <w:szCs w:val="21"/>
                <w:lang w:val="en-US" w:eastAsia="zh-CN"/>
              </w:rPr>
              <w:t>相关</w:t>
            </w:r>
            <w:r>
              <w:rPr>
                <w:rFonts w:hint="eastAsia"/>
                <w:sz w:val="21"/>
                <w:szCs w:val="21"/>
              </w:rPr>
              <w:t>方进行了环保告知。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生产过程实施工序流程检验卡形式，对生产过程进行监控。</w:t>
            </w:r>
          </w:p>
          <w:p>
            <w:pPr>
              <w:spacing w:line="240" w:lineRule="exact"/>
              <w:rPr>
                <w:rFonts w:ascii="宋体" w:hAnsi="宋体"/>
                <w:b/>
                <w:sz w:val="21"/>
                <w:szCs w:val="21"/>
              </w:rPr>
            </w:pPr>
            <w:r>
              <w:rPr>
                <w:rFonts w:hint="eastAsia" w:ascii="宋体" w:hAnsi="宋体"/>
                <w:b/>
                <w:sz w:val="21"/>
                <w:szCs w:val="21"/>
                <w:lang w:val="en-US" w:eastAsia="zh-CN"/>
              </w:rPr>
              <w:t>对热处理过程进行确认，分别从人员、设备、工艺参数、处理后样品的检验等各个环节进行确认。总体有效。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lang w:val="en-US" w:eastAsia="zh-CN"/>
              </w:rPr>
              <w:t xml:space="preserve">主要按与客户签订的技术合同； </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无检测报告； 提供客户使用确认报告。</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1、废水管控：企业无工业废水，生活废水流入市政管网。</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2、废气管控：无废气排放。</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3、噪声管控：组装调试噪声影响不大。</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4、固废管控：生活垃圾由当地环卫所处理，公司缴纳管理费。</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5、能源资源管控：注意节水、节电，人走关闭设备和照明开关，现场未发现有漏水和浪费电能的现象。</w:t>
            </w:r>
          </w:p>
          <w:p>
            <w:pPr>
              <w:spacing w:line="240" w:lineRule="exact"/>
              <w:ind w:firstLine="422" w:firstLineChars="200"/>
              <w:rPr>
                <w:rFonts w:ascii="宋体" w:hAnsi="宋体"/>
                <w:b/>
                <w:sz w:val="21"/>
                <w:szCs w:val="21"/>
              </w:rPr>
            </w:pPr>
            <w:r>
              <w:rPr>
                <w:rFonts w:hint="eastAsia" w:ascii="宋体" w:hAnsi="宋体"/>
                <w:b/>
                <w:sz w:val="21"/>
                <w:szCs w:val="21"/>
                <w:lang w:val="en-US" w:eastAsia="zh-CN"/>
              </w:rPr>
              <w:t>6、对相关方进行了环保要求告知。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1、潜在火灾管控：配备灭火器。</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2、安全防护：公司给员工发放手套、口罩、工作服等劳保用品，电线布线合理，漏电保护器状态良好。</w:t>
            </w:r>
          </w:p>
          <w:p>
            <w:pPr>
              <w:spacing w:line="240" w:lineRule="exact"/>
              <w:ind w:firstLine="422" w:firstLineChars="200"/>
              <w:rPr>
                <w:rFonts w:hint="eastAsia" w:ascii="宋体" w:hAnsi="宋体"/>
                <w:b/>
                <w:sz w:val="21"/>
                <w:szCs w:val="21"/>
                <w:lang w:val="en-US" w:eastAsia="zh-CN"/>
              </w:rPr>
            </w:pPr>
            <w:r>
              <w:rPr>
                <w:rFonts w:hint="eastAsia" w:ascii="宋体" w:hAnsi="宋体"/>
                <w:b/>
                <w:sz w:val="21"/>
                <w:szCs w:val="21"/>
                <w:lang w:val="en-US" w:eastAsia="zh-CN"/>
              </w:rPr>
              <w:t>3、为主要长期员工上社保、工伤保险。</w:t>
            </w:r>
          </w:p>
          <w:p>
            <w:pPr>
              <w:spacing w:line="240" w:lineRule="exact"/>
              <w:ind w:firstLine="422" w:firstLineChars="200"/>
              <w:rPr>
                <w:rFonts w:hint="default" w:ascii="宋体" w:hAnsi="宋体" w:eastAsia="宋体"/>
                <w:b/>
                <w:sz w:val="21"/>
                <w:szCs w:val="21"/>
                <w:lang w:val="en-US" w:eastAsia="zh-CN"/>
              </w:rPr>
            </w:pPr>
            <w:r>
              <w:rPr>
                <w:rFonts w:hint="eastAsia" w:ascii="宋体" w:hAnsi="宋体"/>
                <w:b/>
                <w:sz w:val="21"/>
                <w:szCs w:val="21"/>
                <w:lang w:val="en-US" w:eastAsia="zh-CN"/>
              </w:rPr>
              <w:t>4、为环境和职业健康安全管理体系运行提供了财务支持。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制定了火灾、触电、人身伤害等应急预案，举行了年度进行了消防应急演练.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
                <w:sz w:val="21"/>
                <w:szCs w:val="21"/>
                <w:lang w:val="en-US" w:eastAsia="zh-CN"/>
              </w:rPr>
              <w:t>对各部门目标完成情况进行考核，基本达到目标规定。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sz w:val="21"/>
                <w:szCs w:val="21"/>
                <w:lang w:val="en-US" w:eastAsia="zh-CN"/>
              </w:rPr>
              <w:t xml:space="preserve">    顾客满意度调查结果达到97分；</w:t>
            </w:r>
          </w:p>
          <w:p>
            <w:pPr>
              <w:numPr>
                <w:ilvl w:val="0"/>
                <w:numId w:val="0"/>
              </w:numPr>
              <w:spacing w:line="240" w:lineRule="exact"/>
              <w:ind w:left="-120" w:leftChars="-50" w:firstLine="0" w:firstLineChars="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360" w:lineRule="auto"/>
              <w:jc w:val="left"/>
              <w:rPr>
                <w:b/>
                <w:color w:val="000000" w:themeColor="text1"/>
                <w:sz w:val="21"/>
                <w:szCs w:val="21"/>
              </w:rPr>
            </w:pPr>
            <w:r>
              <w:rPr>
                <w:rFonts w:hint="eastAsia" w:ascii="宋体" w:hAnsi="宋体" w:cs="宋体"/>
                <w:sz w:val="21"/>
                <w:szCs w:val="21"/>
              </w:rPr>
              <w:t>每年一次，本次20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月1</w:t>
            </w:r>
            <w:r>
              <w:rPr>
                <w:rFonts w:hint="eastAsia" w:ascii="宋体" w:hAnsi="宋体" w:cs="宋体"/>
                <w:sz w:val="21"/>
                <w:szCs w:val="21"/>
                <w:lang w:val="en-US" w:eastAsia="zh-CN"/>
              </w:rPr>
              <w:t>5</w:t>
            </w:r>
            <w:r>
              <w:rPr>
                <w:rFonts w:hint="eastAsia" w:ascii="宋体" w:hAnsi="宋体" w:cs="宋体"/>
                <w:sz w:val="21"/>
                <w:szCs w:val="21"/>
              </w:rPr>
              <w:t>日至</w:t>
            </w:r>
            <w:r>
              <w:rPr>
                <w:rFonts w:hint="eastAsia" w:ascii="宋体" w:hAnsi="宋体" w:cs="宋体"/>
                <w:sz w:val="21"/>
                <w:szCs w:val="21"/>
                <w:lang w:val="en-US" w:eastAsia="zh-CN"/>
              </w:rPr>
              <w:t>3</w:t>
            </w:r>
            <w:r>
              <w:rPr>
                <w:rFonts w:hint="eastAsia" w:ascii="宋体" w:hAnsi="宋体" w:cs="宋体"/>
                <w:sz w:val="21"/>
                <w:szCs w:val="21"/>
              </w:rPr>
              <w:t>月1</w:t>
            </w:r>
            <w:r>
              <w:rPr>
                <w:rFonts w:hint="eastAsia" w:ascii="宋体" w:hAnsi="宋体" w:cs="宋体"/>
                <w:sz w:val="21"/>
                <w:szCs w:val="21"/>
                <w:lang w:val="en-US" w:eastAsia="zh-CN"/>
              </w:rPr>
              <w:t>6</w:t>
            </w:r>
            <w:r>
              <w:rPr>
                <w:rFonts w:hint="eastAsia" w:ascii="宋体" w:hAnsi="宋体" w:cs="宋体"/>
                <w:sz w:val="21"/>
                <w:szCs w:val="21"/>
              </w:rPr>
              <w:t>日内审。</w:t>
            </w:r>
          </w:p>
          <w:p>
            <w:pPr>
              <w:spacing w:line="240" w:lineRule="exact"/>
              <w:rPr>
                <w:b/>
                <w:color w:val="000000" w:themeColor="text1"/>
                <w:sz w:val="21"/>
                <w:szCs w:val="21"/>
              </w:rPr>
            </w:pPr>
            <w:r>
              <w:rPr>
                <w:rFonts w:hint="eastAsia"/>
                <w:b/>
                <w:color w:val="000000" w:themeColor="text1"/>
                <w:sz w:val="21"/>
                <w:szCs w:val="21"/>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240" w:lineRule="exact"/>
              <w:rPr>
                <w:b/>
                <w:color w:val="000000" w:themeColor="text1"/>
                <w:sz w:val="21"/>
                <w:szCs w:val="21"/>
              </w:rPr>
            </w:pPr>
            <w:r>
              <w:rPr>
                <w:rFonts w:hint="eastAsia"/>
                <w:b/>
                <w:color w:val="000000" w:themeColor="text1"/>
                <w:sz w:val="21"/>
                <w:szCs w:val="21"/>
              </w:rPr>
              <w:t>了解内审结论是什么？</w:t>
            </w:r>
          </w:p>
          <w:p>
            <w:pPr>
              <w:spacing w:before="120" w:line="200" w:lineRule="exact"/>
              <w:rPr>
                <w:rFonts w:ascii="宋体" w:hAnsi="宋体"/>
                <w:b/>
                <w:sz w:val="21"/>
                <w:szCs w:val="21"/>
              </w:rPr>
            </w:pPr>
            <w:r>
              <w:rPr>
                <w:rFonts w:hint="eastAsia" w:ascii="宋体" w:hAnsi="宋体" w:cs="宋体"/>
                <w:sz w:val="21"/>
                <w:szCs w:val="21"/>
              </w:rPr>
              <w:t>本公司质量/环境/职业健康安全三合一管理体系符合公司管理手册、程序性文件、 GB/T19001-2016、GB/T24</w:t>
            </w:r>
            <w:bookmarkStart w:id="24" w:name="_GoBack"/>
            <w:bookmarkEnd w:id="24"/>
            <w:r>
              <w:rPr>
                <w:rFonts w:hint="eastAsia" w:ascii="宋体" w:hAnsi="宋体" w:cs="宋体"/>
                <w:sz w:val="21"/>
                <w:szCs w:val="21"/>
              </w:rPr>
              <w:t>001-2016</w:t>
            </w:r>
            <w:r>
              <w:rPr>
                <w:rFonts w:hint="eastAsia" w:ascii="宋体" w:hAnsi="宋体" w:cs="宋体"/>
                <w:sz w:val="21"/>
                <w:szCs w:val="21"/>
                <w:lang w:eastAsia="zh-CN"/>
              </w:rPr>
              <w:t>、</w:t>
            </w:r>
            <w:r>
              <w:rPr>
                <w:rFonts w:hint="eastAsia" w:ascii="宋体" w:hAnsi="宋体" w:cs="宋体"/>
                <w:sz w:val="21"/>
                <w:szCs w:val="21"/>
              </w:rPr>
              <w:t>GB/T</w:t>
            </w:r>
            <w:r>
              <w:rPr>
                <w:rFonts w:hint="eastAsia" w:ascii="宋体" w:hAnsi="宋体" w:cs="宋体"/>
                <w:sz w:val="21"/>
                <w:szCs w:val="21"/>
                <w:lang w:val="en-US" w:eastAsia="zh-CN"/>
              </w:rPr>
              <w:t>45</w:t>
            </w:r>
            <w:r>
              <w:rPr>
                <w:rFonts w:hint="eastAsia" w:ascii="宋体" w:hAnsi="宋体" w:cs="宋体"/>
                <w:sz w:val="21"/>
                <w:szCs w:val="21"/>
              </w:rPr>
              <w:t>001-20</w:t>
            </w:r>
            <w:r>
              <w:rPr>
                <w:rFonts w:hint="eastAsia" w:ascii="宋体" w:hAnsi="宋体" w:cs="宋体"/>
                <w:sz w:val="21"/>
                <w:szCs w:val="21"/>
                <w:lang w:val="en-US" w:eastAsia="zh-CN"/>
              </w:rPr>
              <w:t>20</w:t>
            </w:r>
            <w:r>
              <w:rPr>
                <w:rFonts w:hint="eastAsia" w:ascii="宋体" w:hAnsi="宋体" w:cs="宋体"/>
                <w:sz w:val="21"/>
                <w:szCs w:val="21"/>
              </w:rPr>
              <w:t>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25</w:t>
            </w:r>
            <w:r>
              <w:rPr>
                <w:rFonts w:hint="eastAsia" w:ascii="宋体" w:hAnsi="宋体" w:cs="宋体"/>
                <w:sz w:val="21"/>
                <w:szCs w:val="21"/>
              </w:rPr>
              <w:t>日管理评审。</w:t>
            </w:r>
          </w:p>
          <w:p>
            <w:pPr>
              <w:spacing w:line="240" w:lineRule="exact"/>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240" w:lineRule="exact"/>
              <w:rPr>
                <w:b/>
                <w:color w:val="000000" w:themeColor="text1"/>
                <w:sz w:val="21"/>
                <w:szCs w:val="21"/>
              </w:rPr>
            </w:pPr>
            <w:r>
              <w:rPr>
                <w:rFonts w:hint="eastAsia"/>
                <w:b/>
                <w:color w:val="000000" w:themeColor="text1"/>
                <w:sz w:val="21"/>
                <w:szCs w:val="21"/>
              </w:rPr>
              <w:t xml:space="preserve">了解管理评审结论; </w:t>
            </w:r>
          </w:p>
          <w:p>
            <w:pPr>
              <w:spacing w:line="240" w:lineRule="exact"/>
              <w:rPr>
                <w:rFonts w:ascii="宋体" w:hAnsi="宋体"/>
                <w:b/>
                <w:sz w:val="21"/>
                <w:szCs w:val="21"/>
              </w:rPr>
            </w:pPr>
            <w:r>
              <w:rPr>
                <w:rFonts w:hint="eastAsia" w:asciiTheme="minorEastAsia" w:hAnsiTheme="minorEastAsia" w:eastAsiaTheme="minor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Pr>
                <w:rFonts w:hint="eastAsia" w:asciiTheme="minorEastAsia" w:hAnsiTheme="minorEastAsia"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default" w:ascii="宋体" w:hAnsi="宋体" w:eastAsia="宋体"/>
                <w:b/>
                <w:sz w:val="21"/>
                <w:szCs w:val="21"/>
                <w:lang w:val="en-US" w:eastAsia="zh-CN"/>
              </w:rPr>
            </w:pPr>
            <w:r>
              <w:rPr>
                <w:rFonts w:hint="eastAsia" w:ascii="宋体" w:hAnsi="宋体"/>
                <w:b/>
                <w:sz w:val="21"/>
                <w:szCs w:val="21"/>
                <w:lang w:val="en-US" w:eastAsia="zh-CN"/>
              </w:rPr>
              <w:t xml:space="preserve">  公司环境备案审批为报告表备案； 无工业废水、废气； 噪声和废渣可控； 未强制要求监测。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环境影响登记表备案； 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无测量情况； 基本可控。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企业自体系建立以来，通过内审的改进、管理评审；纠正措施的实施、顾客满意度调查等措施，采取了具体的改进措施。基本符合要求。</w:t>
            </w:r>
          </w:p>
          <w:p>
            <w:pPr>
              <w:spacing w:line="240" w:lineRule="exact"/>
              <w:rPr>
                <w:rFonts w:hint="eastAsia" w:ascii="宋体" w:hAnsi="宋体" w:eastAsia="宋体" w:cs="宋体"/>
                <w:b/>
                <w:bCs/>
                <w:sz w:val="21"/>
                <w:szCs w:val="21"/>
              </w:rPr>
            </w:pPr>
            <w:r>
              <w:rPr>
                <w:rFonts w:hint="eastAsia" w:ascii="宋体" w:hAnsi="宋体" w:eastAsia="宋体" w:cs="宋体"/>
                <w:b/>
                <w:bCs/>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spacing w:line="240" w:lineRule="exac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 xml:space="preserve">    初次审核的不符合项已整改； 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sz w:val="21"/>
                <w:szCs w:val="21"/>
                <w:lang w:val="en-US" w:eastAsia="zh-CN"/>
              </w:rPr>
              <w:t xml:space="preserve">  企业提供的信息未具体展开。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eastAsia" w:ascii="宋体" w:hAnsi="宋体"/>
                <w:b/>
                <w:sz w:val="21"/>
                <w:szCs w:val="21"/>
              </w:rPr>
            </w:pPr>
            <w:r>
              <w:rPr>
                <w:rFonts w:hint="eastAsia" w:ascii="宋体" w:hAnsi="宋体"/>
                <w:b/>
                <w:sz w:val="21"/>
                <w:szCs w:val="21"/>
              </w:rPr>
              <w:t>已整改完毕，符合要求。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2336" behindDoc="1" locked="0" layoutInCell="1" allowOverlap="1">
            <wp:simplePos x="0" y="0"/>
            <wp:positionH relativeFrom="column">
              <wp:posOffset>1642745</wp:posOffset>
            </wp:positionH>
            <wp:positionV relativeFrom="paragraph">
              <wp:posOffset>95250</wp:posOffset>
            </wp:positionV>
            <wp:extent cx="685800" cy="495935"/>
            <wp:effectExtent l="0" t="0" r="0" b="698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85800" cy="495935"/>
                    </a:xfrm>
                    <a:prstGeom prst="rect">
                      <a:avLst/>
                    </a:prstGeom>
                  </pic:spPr>
                </pic:pic>
              </a:graphicData>
            </a:graphic>
          </wp:anchor>
        </w:drawing>
      </w:r>
      <w:r>
        <w:rPr>
          <w:rFonts w:hint="eastAsia"/>
          <w:b/>
          <w:sz w:val="26"/>
          <w:szCs w:val="26"/>
        </w:rPr>
        <w:t>十二、审核组签字</w:t>
      </w:r>
    </w:p>
    <w:p>
      <w:pPr>
        <w:snapToGrid w:val="0"/>
        <w:spacing w:line="240" w:lineRule="auto"/>
        <w:ind w:firstLine="527" w:firstLineChars="250"/>
        <w:rPr>
          <w:rFonts w:hint="eastAsia" w:eastAsia="宋体"/>
          <w:b/>
          <w:sz w:val="21"/>
          <w:lang w:eastAsia="zh-CN"/>
        </w:rPr>
      </w:pPr>
      <w:r>
        <w:rPr>
          <w:rFonts w:hint="eastAsia"/>
          <w:b/>
          <w:sz w:val="21"/>
        </w:rPr>
        <w:t>审核组组长（签名）：</w:t>
      </w:r>
    </w:p>
    <w:p>
      <w:pPr>
        <w:snapToGrid w:val="0"/>
        <w:spacing w:before="163" w:beforeLines="50" w:line="240" w:lineRule="auto"/>
        <w:ind w:firstLine="527" w:firstLineChars="250"/>
        <w:rPr>
          <w:rFonts w:hint="default" w:eastAsia="宋体"/>
          <w:b/>
          <w:sz w:val="21"/>
          <w:lang w:val="en-US" w:eastAsia="zh-CN"/>
        </w:rPr>
      </w:pPr>
      <w:r>
        <w:rPr>
          <w:rFonts w:hint="default" w:eastAsia="宋体"/>
          <w:b/>
          <w:sz w:val="21"/>
          <w:lang w:val="en-US" w:eastAsia="zh-CN"/>
        </w:rPr>
        <w:drawing>
          <wp:anchor distT="0" distB="0" distL="114300" distR="114300" simplePos="0" relativeHeight="251664384" behindDoc="1" locked="0" layoutInCell="1" allowOverlap="1">
            <wp:simplePos x="0" y="0"/>
            <wp:positionH relativeFrom="column">
              <wp:posOffset>2204720</wp:posOffset>
            </wp:positionH>
            <wp:positionV relativeFrom="paragraph">
              <wp:posOffset>65405</wp:posOffset>
            </wp:positionV>
            <wp:extent cx="822960" cy="407035"/>
            <wp:effectExtent l="0" t="0" r="0" b="4445"/>
            <wp:wrapNone/>
            <wp:docPr id="3" name="图片 3"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央央"/>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r>
        <w:rPr>
          <w:rFonts w:hint="eastAsia" w:eastAsia="宋体"/>
          <w:b/>
          <w:sz w:val="21"/>
          <w:lang w:eastAsia="zh-CN"/>
        </w:rPr>
        <w:drawing>
          <wp:anchor distT="0" distB="0" distL="114300" distR="114300" simplePos="0" relativeHeight="251663360" behindDoc="1" locked="0" layoutInCell="1" allowOverlap="1">
            <wp:simplePos x="0" y="0"/>
            <wp:positionH relativeFrom="column">
              <wp:posOffset>1530985</wp:posOffset>
            </wp:positionH>
            <wp:positionV relativeFrom="paragraph">
              <wp:posOffset>103505</wp:posOffset>
            </wp:positionV>
            <wp:extent cx="677545" cy="342900"/>
            <wp:effectExtent l="0" t="0" r="8255" b="7620"/>
            <wp:wrapNone/>
            <wp:docPr id="2" name="图片 2"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任泽华"/>
                    <pic:cNvPicPr>
                      <a:picLocks noChangeAspect="1"/>
                    </pic:cNvPicPr>
                  </pic:nvPicPr>
                  <pic:blipFill>
                    <a:blip r:embed="rId8"/>
                    <a:stretch>
                      <a:fillRect/>
                    </a:stretch>
                  </pic:blipFill>
                  <pic:spPr>
                    <a:xfrm>
                      <a:off x="0" y="0"/>
                      <a:ext cx="677545" cy="342900"/>
                    </a:xfrm>
                    <a:prstGeom prst="rect">
                      <a:avLst/>
                    </a:prstGeom>
                  </pic:spPr>
                </pic:pic>
              </a:graphicData>
            </a:graphic>
          </wp:anchor>
        </w:drawing>
      </w:r>
      <w:r>
        <w:rPr>
          <w:rFonts w:hint="eastAsia"/>
          <w:b/>
          <w:sz w:val="21"/>
        </w:rPr>
        <w:t>审核组组员（签名）：</w:t>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eastAsia="宋体"/>
          <w:b/>
          <w:sz w:val="21"/>
          <w:lang w:eastAsia="zh-CN"/>
        </w:rPr>
        <w:drawing>
          <wp:anchor distT="0" distB="0" distL="114300" distR="114300" simplePos="0" relativeHeight="251665408" behindDoc="1" locked="0" layoutInCell="1" allowOverlap="1">
            <wp:simplePos x="0" y="0"/>
            <wp:positionH relativeFrom="column">
              <wp:posOffset>1284605</wp:posOffset>
            </wp:positionH>
            <wp:positionV relativeFrom="paragraph">
              <wp:posOffset>221615</wp:posOffset>
            </wp:positionV>
            <wp:extent cx="685800" cy="495935"/>
            <wp:effectExtent l="0" t="0" r="0" b="6985"/>
            <wp:wrapNone/>
            <wp:docPr id="4" name="图片 4"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林兵签名"/>
                    <pic:cNvPicPr>
                      <a:picLocks noChangeAspect="1"/>
                    </pic:cNvPicPr>
                  </pic:nvPicPr>
                  <pic:blipFill>
                    <a:blip r:embed="rId6"/>
                    <a:stretch>
                      <a:fillRect/>
                    </a:stretch>
                  </pic:blipFill>
                  <pic:spPr>
                    <a:xfrm>
                      <a:off x="0" y="0"/>
                      <a:ext cx="685800" cy="495935"/>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B6AD7"/>
    <w:multiLevelType w:val="singleLevel"/>
    <w:tmpl w:val="E4AB6AD7"/>
    <w:lvl w:ilvl="0" w:tentative="0">
      <w:start w:val="8"/>
      <w:numFmt w:val="decimal"/>
      <w:suff w:val="space"/>
      <w:lvlText w:val="%1."/>
      <w:lvlJc w:val="left"/>
    </w:lvl>
  </w:abstractNum>
  <w:abstractNum w:abstractNumId="1">
    <w:nsid w:val="F023B400"/>
    <w:multiLevelType w:val="singleLevel"/>
    <w:tmpl w:val="F023B400"/>
    <w:lvl w:ilvl="0" w:tentative="0">
      <w:start w:val="3"/>
      <w:numFmt w:val="decimal"/>
      <w:lvlText w:val="%1."/>
      <w:lvlJc w:val="left"/>
      <w:pPr>
        <w:tabs>
          <w:tab w:val="left" w:pos="312"/>
        </w:tabs>
      </w:pPr>
    </w:lvl>
  </w:abstractNum>
  <w:abstractNum w:abstractNumId="2">
    <w:nsid w:val="1C0E6BFF"/>
    <w:multiLevelType w:val="singleLevel"/>
    <w:tmpl w:val="1C0E6BFF"/>
    <w:lvl w:ilvl="0" w:tentative="0">
      <w:start w:val="2"/>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0ADA30F"/>
    <w:multiLevelType w:val="singleLevel"/>
    <w:tmpl w:val="60ADA30F"/>
    <w:lvl w:ilvl="0" w:tentative="0">
      <w:start w:val="2"/>
      <w:numFmt w:val="decimal"/>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B7952"/>
    <w:rsid w:val="28264471"/>
    <w:rsid w:val="2C1C363A"/>
    <w:rsid w:val="495B75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森林</cp:lastModifiedBy>
  <cp:lastPrinted>2019-04-18T08:15:00Z</cp:lastPrinted>
  <dcterms:modified xsi:type="dcterms:W3CDTF">2021-04-08T09:55:00Z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09974F8C433340378B617420C9D45DA3</vt:lpwstr>
  </property>
</Properties>
</file>