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京鸿石油钻采工程技术有限公司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E：18.05.02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12"/>
                <w:sz w:val="24"/>
              </w:rPr>
              <w:t>下料→机械加工→焊接→装配→检验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安全生产法、DB11/501-2007 大气污染物综合排放标准、DB13/2322-2016工业企业挥发性有机物排放控制标准、GB12348-2008工业企业厂界环境噪声排放标准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2021.4.15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166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2021-04-15T08:07:58Z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9AE345B25ACE40ABBDB4957FABF05CF6</vt:lpwstr>
  </property>
</Properties>
</file>