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成都珮金包装材料有限公司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285"/>
        <w:gridCol w:w="407"/>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285" w:type="dxa"/>
            <w:vAlign w:val="center"/>
          </w:tcPr>
          <w:p>
            <w:pPr>
              <w:jc w:val="center"/>
              <w:rPr>
                <w:b/>
                <w:sz w:val="21"/>
                <w:szCs w:val="21"/>
              </w:rPr>
            </w:pPr>
            <w:r>
              <w:rPr>
                <w:rFonts w:hint="eastAsia"/>
                <w:b/>
                <w:sz w:val="21"/>
                <w:szCs w:val="21"/>
              </w:rPr>
              <w:t>审核员注册号</w:t>
            </w:r>
          </w:p>
        </w:tc>
        <w:tc>
          <w:tcPr>
            <w:tcW w:w="1142"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285" w:type="dxa"/>
            <w:vAlign w:val="center"/>
          </w:tcPr>
          <w:p>
            <w:pPr>
              <w:jc w:val="center"/>
              <w:rPr>
                <w:b/>
                <w:sz w:val="21"/>
                <w:szCs w:val="21"/>
              </w:rPr>
            </w:pPr>
            <w:r>
              <w:rPr>
                <w:b/>
                <w:sz w:val="21"/>
                <w:szCs w:val="21"/>
              </w:rPr>
              <w:t>2019-N1QMS-3093566</w:t>
            </w:r>
          </w:p>
        </w:tc>
        <w:tc>
          <w:tcPr>
            <w:tcW w:w="1142" w:type="dxa"/>
            <w:gridSpan w:val="2"/>
            <w:vAlign w:val="center"/>
          </w:tcPr>
          <w:p>
            <w:pPr>
              <w:jc w:val="center"/>
              <w:rPr>
                <w:b/>
                <w:sz w:val="21"/>
                <w:szCs w:val="21"/>
              </w:rPr>
            </w:pPr>
            <w:r>
              <w:rPr>
                <w:b/>
                <w:sz w:val="21"/>
                <w:szCs w:val="21"/>
              </w:rPr>
              <w:t>14.02.02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2285" w:type="dxa"/>
            <w:vAlign w:val="center"/>
          </w:tcPr>
          <w:p>
            <w:pPr>
              <w:jc w:val="center"/>
              <w:rPr>
                <w:b/>
                <w:sz w:val="21"/>
                <w:szCs w:val="21"/>
              </w:rPr>
            </w:pPr>
            <w:r>
              <w:rPr>
                <w:b/>
                <w:sz w:val="21"/>
                <w:szCs w:val="21"/>
              </w:rPr>
              <w:t>2019-N1QMS-1242345</w:t>
            </w:r>
          </w:p>
        </w:tc>
        <w:tc>
          <w:tcPr>
            <w:tcW w:w="1142"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285" w:type="dxa"/>
          </w:tcPr>
          <w:p>
            <w:pPr>
              <w:rPr>
                <w:b/>
                <w:sz w:val="21"/>
                <w:szCs w:val="21"/>
              </w:rPr>
            </w:pPr>
          </w:p>
        </w:tc>
        <w:tc>
          <w:tcPr>
            <w:tcW w:w="114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285" w:type="dxa"/>
          </w:tcPr>
          <w:p>
            <w:pPr>
              <w:rPr>
                <w:b/>
                <w:sz w:val="21"/>
                <w:szCs w:val="21"/>
              </w:rPr>
            </w:pPr>
          </w:p>
        </w:tc>
        <w:tc>
          <w:tcPr>
            <w:tcW w:w="114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285" w:type="dxa"/>
          </w:tcPr>
          <w:p>
            <w:pPr>
              <w:rPr>
                <w:b/>
                <w:sz w:val="21"/>
                <w:szCs w:val="21"/>
              </w:rPr>
            </w:pPr>
          </w:p>
        </w:tc>
        <w:tc>
          <w:tcPr>
            <w:tcW w:w="114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成都珮金包装材料有限公司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2" w:name="体系人数"/>
            <w:r>
              <w:rPr>
                <w:color w:val="000000"/>
                <w:szCs w:val="21"/>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3" w:name="注册地址"/>
            <w:r>
              <w:rPr>
                <w:rFonts w:ascii="宋体"/>
                <w:b/>
                <w:color w:val="auto"/>
                <w:sz w:val="21"/>
              </w:rPr>
              <w:t>成都市郫都区成都现代工业港北片区龚家碾路99号</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611730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成都市郫都区成都现代工业港北片区龚家碾路99号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611730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成都市郫都区成都现代工业港北片区龚家碾路99号</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611730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张洲</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15503232345</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沈默</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沈默</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沈默</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2021年04月01日 上午至2021年04月01日 上午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审核范围"/>
            <w:r>
              <w:rPr>
                <w:rFonts w:hint="eastAsia" w:ascii="宋体" w:hAnsi="宋体"/>
                <w:b/>
                <w:sz w:val="21"/>
                <w:szCs w:val="21"/>
              </w:rPr>
              <w:t>塑料包装材料（吸塑包装）生产</w:t>
            </w:r>
            <w:bookmarkEnd w:id="26"/>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14.02.02</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2022-04-03</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b/>
                <w:sz w:val="21"/>
                <w:lang w:val="en-US"/>
              </w:rPr>
            </w:pPr>
            <w:r>
              <w:rPr>
                <w:rFonts w:hint="eastAsia" w:ascii="宋体" w:hAnsi="宋体"/>
                <w:b/>
                <w:sz w:val="21"/>
                <w:szCs w:val="21"/>
                <w:lang w:val="en-US" w:eastAsia="zh-CN"/>
              </w:rPr>
              <w:t>2020-06-11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2020年06月11日至2021年04月01日。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cs="宋体"/>
                <w:sz w:val="21"/>
                <w:szCs w:val="21"/>
              </w:rPr>
              <w:t>成都珮金包装材料有限公司是一家专业从事塑料包装材料（吸塑包装）生产的企业。现有员工</w:t>
            </w:r>
            <w:r>
              <w:rPr>
                <w:rFonts w:hint="eastAsia" w:ascii="宋体" w:hAnsi="宋体" w:cs="宋体"/>
                <w:sz w:val="21"/>
                <w:szCs w:val="21"/>
                <w:lang w:val="en-US" w:eastAsia="zh-CN"/>
              </w:rPr>
              <w:t>25</w:t>
            </w:r>
            <w:r>
              <w:rPr>
                <w:rFonts w:hint="eastAsia" w:ascii="宋体" w:hAnsi="宋体" w:cs="宋体"/>
                <w:sz w:val="21"/>
                <w:szCs w:val="21"/>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过程管理、产品优质、持续改进、顾客满意。</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cs="宋体"/>
                <w:kern w:val="0"/>
                <w:sz w:val="21"/>
                <w:szCs w:val="21"/>
              </w:rPr>
            </w:pPr>
            <w:r>
              <w:rPr>
                <w:rFonts w:hint="eastAsia" w:ascii="宋体" w:hAnsi="宋体"/>
                <w:b/>
                <w:sz w:val="21"/>
                <w:szCs w:val="21"/>
              </w:rPr>
              <w:t>质量管理体系过程有：</w:t>
            </w:r>
            <w:r>
              <w:rPr>
                <w:rFonts w:hint="eastAsia" w:ascii="宋体" w:hAnsi="宋体" w:cs="宋体"/>
                <w:kern w:val="0"/>
                <w:sz w:val="21"/>
                <w:szCs w:val="21"/>
              </w:rPr>
              <w:t xml:space="preserve">塑料包装材料（吸塑包装）生产  </w:t>
            </w:r>
          </w:p>
          <w:p>
            <w:pPr>
              <w:adjustRightInd w:val="0"/>
              <w:snapToGrid w:val="0"/>
              <w:spacing w:line="400" w:lineRule="exact"/>
              <w:rPr>
                <w:rFonts w:hint="eastAsia"/>
                <w:sz w:val="21"/>
                <w:szCs w:val="21"/>
                <w:lang w:eastAsia="zh-CN"/>
              </w:rPr>
            </w:pPr>
            <w:r>
              <w:rPr>
                <w:rFonts w:hint="eastAsia" w:ascii="宋体" w:hAnsi="宋体"/>
                <w:b/>
                <w:sz w:val="21"/>
                <w:szCs w:val="21"/>
              </w:rPr>
              <w:t>关键过程有：</w:t>
            </w:r>
            <w:r>
              <w:rPr>
                <w:rFonts w:ascii="宋体" w:hAnsi="宋体" w:cs="宋体"/>
                <w:kern w:val="0"/>
                <w:sz w:val="21"/>
                <w:szCs w:val="21"/>
              </w:rPr>
              <w:t>真空吸塑成型</w:t>
            </w:r>
          </w:p>
          <w:p>
            <w:pPr>
              <w:tabs>
                <w:tab w:val="left" w:pos="540"/>
              </w:tabs>
              <w:spacing w:line="300" w:lineRule="exact"/>
              <w:ind w:left="211" w:hanging="211" w:hangingChars="100"/>
              <w:rPr>
                <w:rFonts w:hint="eastAsia" w:ascii="宋体" w:hAnsi="宋体"/>
                <w:szCs w:val="21"/>
                <w:lang w:eastAsia="zh-CN"/>
              </w:rPr>
            </w:pPr>
            <w:r>
              <w:rPr>
                <w:rFonts w:hint="eastAsia" w:ascii="宋体" w:hAnsi="宋体"/>
                <w:b/>
                <w:sz w:val="21"/>
                <w:szCs w:val="21"/>
              </w:rPr>
              <w:t>需要确认过程：</w:t>
            </w:r>
            <w:r>
              <w:rPr>
                <w:rFonts w:hint="eastAsia"/>
                <w:sz w:val="21"/>
                <w:szCs w:val="21"/>
                <w:lang w:eastAsia="zh-CN"/>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ascii="宋体" w:hAnsi="宋体"/>
                <w:sz w:val="21"/>
                <w:szCs w:val="21"/>
              </w:rPr>
              <w:t>公司所生产的</w:t>
            </w:r>
            <w:r>
              <w:rPr>
                <w:rFonts w:hint="eastAsia"/>
                <w:bCs/>
                <w:sz w:val="21"/>
                <w:szCs w:val="21"/>
                <w:lang w:eastAsia="zh-CN"/>
              </w:rPr>
              <w:t>产品</w:t>
            </w:r>
            <w:r>
              <w:rPr>
                <w:rFonts w:hint="eastAsia" w:ascii="宋体" w:hAnsi="宋体"/>
                <w:sz w:val="21"/>
                <w:szCs w:val="21"/>
              </w:rPr>
              <w:t>，按客户要求及</w:t>
            </w:r>
            <w:r>
              <w:rPr>
                <w:rFonts w:hint="eastAsia" w:ascii="宋体" w:hAnsi="宋体"/>
                <w:sz w:val="21"/>
                <w:szCs w:val="21"/>
                <w:lang w:eastAsia="zh-CN"/>
              </w:rPr>
              <w:t>提供的图纸</w:t>
            </w:r>
            <w:r>
              <w:rPr>
                <w:rFonts w:hint="eastAsia" w:ascii="宋体" w:hAnsi="宋体"/>
                <w:sz w:val="21"/>
                <w:szCs w:val="21"/>
              </w:rPr>
              <w:t>进行生产，工艺成熟</w:t>
            </w:r>
            <w:r>
              <w:rPr>
                <w:rFonts w:hint="eastAsia" w:ascii="宋体" w:hAnsi="宋体"/>
                <w:sz w:val="21"/>
                <w:szCs w:val="21"/>
                <w:lang w:eastAsia="zh-CN"/>
              </w:rPr>
              <w:t>固定</w:t>
            </w:r>
            <w:r>
              <w:rPr>
                <w:rFonts w:hint="eastAsia" w:ascii="宋体" w:hAnsi="宋体"/>
                <w:sz w:val="21"/>
                <w:szCs w:val="21"/>
              </w:rPr>
              <w:t>。整个生产过程不涉及设计新产品的内容，故8.3</w:t>
            </w:r>
            <w:r>
              <w:rPr>
                <w:rFonts w:hint="eastAsia" w:ascii="宋体" w:hAnsi="宋体"/>
                <w:color w:val="auto"/>
                <w:sz w:val="21"/>
                <w:szCs w:val="21"/>
              </w:rPr>
              <w:t>不适用。</w:t>
            </w:r>
            <w:r>
              <w:rPr>
                <w:rFonts w:hint="eastAsia" w:ascii="宋体" w:hAnsi="宋体"/>
                <w:color w:val="auto"/>
                <w:sz w:val="21"/>
                <w:szCs w:val="21"/>
                <w:lang w:val="en-US" w:eastAsia="zh-CN"/>
              </w:rPr>
              <w:t>8.3条款的不适用，不影响组织提供满足顾客要求及法律法规要求的能力和责任。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w:t>
            </w:r>
            <w:r>
              <w:rPr>
                <w:rFonts w:hint="eastAsia" w:ascii="宋体" w:hAnsi="宋体" w:cs="宋体"/>
                <w:sz w:val="21"/>
                <w:szCs w:val="21"/>
                <w:highlight w:val="none"/>
              </w:rPr>
              <w:t>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color w:val="000000"/>
                <w:kern w:val="0"/>
                <w:sz w:val="21"/>
                <w:szCs w:val="21"/>
                <w:highlight w:val="none"/>
              </w:rPr>
              <w:t>2018.</w:t>
            </w:r>
            <w:r>
              <w:rPr>
                <w:rFonts w:hint="eastAsia" w:ascii="宋体" w:hAnsi="宋体" w:cs="宋体"/>
                <w:color w:val="000000"/>
                <w:kern w:val="0"/>
                <w:sz w:val="21"/>
                <w:szCs w:val="21"/>
                <w:highlight w:val="none"/>
                <w:lang w:val="en-US" w:eastAsia="zh-CN"/>
              </w:rPr>
              <w:t>12</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12</w:t>
            </w:r>
            <w:r>
              <w:rPr>
                <w:rFonts w:hint="eastAsia" w:ascii="宋体" w:hAnsi="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w:t>
            </w:r>
            <w:r>
              <w:rPr>
                <w:rFonts w:hint="eastAsia" w:ascii="宋体" w:hAnsi="宋体" w:cs="宋体"/>
                <w:sz w:val="21"/>
                <w:szCs w:val="21"/>
              </w:rPr>
              <w:t>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rPr>
              <w:t>组织有</w:t>
            </w:r>
            <w:r>
              <w:rPr>
                <w:rFonts w:hint="eastAsia" w:ascii="宋体" w:hAnsi="宋体" w:cs="宋体"/>
                <w:sz w:val="21"/>
                <w:szCs w:val="21"/>
                <w:lang w:eastAsia="zh-CN"/>
              </w:rPr>
              <w:t>满足产品生产需要的生产场地及办公经营场所，车间、库房按区域划分开。主要设备包括</w:t>
            </w:r>
            <w:r>
              <w:rPr>
                <w:rFonts w:hint="eastAsia" w:ascii="宋体" w:hAnsi="宋体" w:cs="宋体"/>
                <w:sz w:val="21"/>
                <w:szCs w:val="21"/>
              </w:rPr>
              <w:t>高速真空吸塑机、液压裁断机、空压机、模具等</w:t>
            </w:r>
            <w:r>
              <w:rPr>
                <w:rFonts w:hint="eastAsia" w:ascii="宋体" w:hAnsi="宋体" w:cs="宋体"/>
                <w:sz w:val="21"/>
                <w:szCs w:val="21"/>
                <w:lang w:eastAsia="zh-CN"/>
              </w:rPr>
              <w:t>，检测设备：</w:t>
            </w:r>
            <w:r>
              <w:rPr>
                <w:rFonts w:hint="eastAsia" w:ascii="宋体" w:hAnsi="宋体"/>
                <w:sz w:val="21"/>
                <w:szCs w:val="21"/>
                <w:lang w:eastAsia="zh-CN"/>
              </w:rPr>
              <w:t>钢直尺、卷尺、游标卡尺、重锤表面电阻测试仪、静电测试仪、摩擦静电测试仪等</w:t>
            </w:r>
            <w:r>
              <w:rPr>
                <w:rFonts w:hint="eastAsia" w:ascii="宋体" w:hAnsi="宋体" w:cs="宋体"/>
                <w:sz w:val="21"/>
                <w:szCs w:val="21"/>
                <w:lang w:eastAsia="zh-CN"/>
              </w:rPr>
              <w:t>，可以满足产品生产需要。生产部对设备按月方式进行点检维护保养，并实施。特种设备：无。公司未建立信息管理系统用于生产和服务。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查《计量器具台账》，</w:t>
            </w:r>
            <w:r>
              <w:rPr>
                <w:rFonts w:hint="eastAsia" w:ascii="宋体" w:hAnsi="宋体" w:cs="宋体"/>
                <w:sz w:val="21"/>
                <w:szCs w:val="21"/>
              </w:rPr>
              <w:t>技术部门均按策划的要求配置了相应的检测设备用于产品的检测，监视测量设备有：</w:t>
            </w:r>
            <w:r>
              <w:rPr>
                <w:rFonts w:hint="eastAsia" w:ascii="宋体" w:hAnsi="宋体"/>
                <w:sz w:val="21"/>
                <w:szCs w:val="21"/>
                <w:lang w:eastAsia="zh-CN"/>
              </w:rPr>
              <w:t>钢直尺、卷尺、游标卡尺、重锤表面电阻测试仪、静电测试仪、摩擦静电测试仪等</w:t>
            </w:r>
            <w:r>
              <w:rPr>
                <w:rFonts w:hint="eastAsia" w:ascii="宋体" w:hAnsi="宋体"/>
                <w:color w:val="FF0000"/>
                <w:sz w:val="21"/>
                <w:szCs w:val="21"/>
              </w:rPr>
              <w:t>。</w:t>
            </w:r>
            <w:r>
              <w:rPr>
                <w:rFonts w:hint="eastAsia" w:ascii="宋体" w:hAnsi="宋体"/>
                <w:color w:val="auto"/>
                <w:sz w:val="21"/>
                <w:szCs w:val="21"/>
              </w:rPr>
              <w:t>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真空吸塑过程</w:t>
            </w: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color w:val="auto"/>
                <w:sz w:val="21"/>
                <w:szCs w:val="21"/>
              </w:rPr>
              <w:t xml:space="preserve">10. </w:t>
            </w:r>
            <w:r>
              <w:rPr>
                <w:rFonts w:hint="eastAsia" w:ascii="宋体" w:hAnsi="宋体"/>
                <w:b/>
                <w:color w:val="auto"/>
                <w:sz w:val="21"/>
                <w:szCs w:val="21"/>
              </w:rPr>
              <w:t>对特种设备的维护，检定</w:t>
            </w:r>
            <w:r>
              <w:rPr>
                <w:rFonts w:ascii="宋体" w:hAnsi="宋体"/>
                <w:b/>
                <w:color w:val="auto"/>
                <w:sz w:val="21"/>
                <w:szCs w:val="21"/>
              </w:rPr>
              <w:t>;</w:t>
            </w:r>
            <w:r>
              <w:rPr>
                <w:rFonts w:hint="eastAsia" w:ascii="宋体" w:hAnsi="宋体"/>
                <w:b/>
                <w:color w:val="auto"/>
                <w:sz w:val="21"/>
                <w:szCs w:val="21"/>
              </w:rPr>
              <w:t>（</w:t>
            </w:r>
            <w:r>
              <w:rPr>
                <w:rFonts w:ascii="宋体" w:hAnsi="宋体"/>
                <w:b/>
                <w:color w:val="auto"/>
                <w:sz w:val="21"/>
                <w:szCs w:val="21"/>
              </w:rPr>
              <w:t>适用时</w:t>
            </w:r>
            <w:r>
              <w:rPr>
                <w:rFonts w:hint="eastAsia" w:ascii="宋体" w:hAnsi="宋体"/>
                <w:b/>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highlight w:val="none"/>
              </w:rPr>
              <w:t>监视评价，通过数据的汇总统计、描述性统计等方法对目标进行了测量，总体已达到或超过了规定的目标值。通过2020年</w:t>
            </w:r>
            <w:r>
              <w:rPr>
                <w:rFonts w:hint="eastAsia" w:ascii="宋体" w:hAnsi="宋体" w:cs="宋体"/>
                <w:sz w:val="21"/>
                <w:szCs w:val="21"/>
                <w:highlight w:val="none"/>
                <w:lang w:val="en-US" w:eastAsia="zh-CN"/>
              </w:rPr>
              <w:t>10月</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4"/>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w:t>
            </w:r>
            <w:r>
              <w:rPr>
                <w:rFonts w:hint="eastAsia" w:ascii="宋体" w:hAnsi="宋体" w:cs="宋体"/>
                <w:color w:val="000000"/>
                <w:sz w:val="21"/>
                <w:szCs w:val="21"/>
                <w:highlight w:val="none"/>
              </w:rPr>
              <w:t>息的利</w:t>
            </w:r>
            <w:r>
              <w:rPr>
                <w:rFonts w:hint="eastAsia" w:ascii="宋体" w:hAnsi="宋体" w:cs="宋体"/>
                <w:sz w:val="21"/>
                <w:szCs w:val="21"/>
                <w:highlight w:val="none"/>
              </w:rPr>
              <w:t>用上不够，需要改善。近年来未发生重大顾客投诉和产品质量事故。顾客满意度调查按规定实施，20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年1</w:t>
            </w:r>
            <w:r>
              <w:rPr>
                <w:rFonts w:hint="eastAsia" w:ascii="宋体" w:hAnsi="宋体" w:cs="宋体"/>
                <w:sz w:val="21"/>
                <w:szCs w:val="21"/>
                <w:highlight w:val="none"/>
                <w:lang w:val="en-US" w:eastAsia="zh-CN"/>
              </w:rPr>
              <w:t>1</w:t>
            </w:r>
            <w:r>
              <w:rPr>
                <w:rFonts w:hint="eastAsia" w:ascii="宋体" w:hAnsi="宋体" w:cs="宋体"/>
                <w:sz w:val="21"/>
                <w:szCs w:val="21"/>
                <w:highlight w:val="none"/>
              </w:rPr>
              <w:t>月实施，满意度评价9</w:t>
            </w:r>
            <w:r>
              <w:rPr>
                <w:rFonts w:hint="eastAsia" w:ascii="宋体" w:hAnsi="宋体" w:cs="宋体"/>
                <w:sz w:val="21"/>
                <w:szCs w:val="21"/>
                <w:highlight w:val="none"/>
                <w:lang w:val="en-US" w:eastAsia="zh-CN"/>
              </w:rPr>
              <w:t>8</w:t>
            </w:r>
            <w:r>
              <w:rPr>
                <w:rFonts w:hint="eastAsia" w:ascii="宋体" w:hAnsi="宋体" w:cs="宋体"/>
                <w:sz w:val="21"/>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建立有《</w:t>
            </w:r>
            <w:r>
              <w:rPr>
                <w:rFonts w:hint="eastAsia" w:ascii="宋体" w:hAnsi="宋体" w:eastAsia="宋体" w:cs="宋体"/>
                <w:color w:val="000000"/>
                <w:sz w:val="21"/>
                <w:szCs w:val="21"/>
              </w:rPr>
              <w:t>内部审核控制程序》，规定了内审频次一年一次，内审时间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2021年1月11日至12日</w:t>
            </w:r>
            <w:r>
              <w:rPr>
                <w:rFonts w:hint="eastAsia" w:ascii="宋体" w:hAnsi="宋体" w:eastAsia="宋体" w:cs="宋体"/>
                <w:color w:val="000000"/>
                <w:sz w:val="21"/>
                <w:szCs w:val="21"/>
              </w:rPr>
              <w:t>，拟定了审核实施表，明确了内审范围，内审人员经培训合格上岗，能力满足要求，未出现审核本部门情况，内审不符合项1项，涉及</w:t>
            </w:r>
            <w:r>
              <w:rPr>
                <w:rFonts w:hint="eastAsia" w:ascii="宋体" w:hAnsi="宋体" w:eastAsia="宋体" w:cs="宋体"/>
                <w:color w:val="000000"/>
                <w:sz w:val="21"/>
                <w:szCs w:val="21"/>
                <w:lang w:eastAsia="zh-CN"/>
              </w:rPr>
              <w:t>办公室</w:t>
            </w:r>
            <w:r>
              <w:rPr>
                <w:rFonts w:hint="eastAsia" w:ascii="宋体" w:hAnsi="宋体" w:eastAsia="宋体" w:cs="宋体"/>
                <w:color w:val="000000"/>
                <w:sz w:val="21"/>
                <w:szCs w:val="21"/>
              </w:rPr>
              <w:t>，涉及涉及</w:t>
            </w:r>
            <w:r>
              <w:rPr>
                <w:rFonts w:hint="eastAsia" w:ascii="宋体" w:hAnsi="宋体" w:eastAsia="宋体" w:cs="宋体"/>
                <w:color w:val="000000"/>
                <w:sz w:val="21"/>
                <w:szCs w:val="21"/>
                <w:lang w:val="en-US" w:eastAsia="zh-CN"/>
              </w:rPr>
              <w:t>品管部不符合标准7.1.5条款，钢直尺未找到检定报告</w:t>
            </w:r>
            <w:r>
              <w:rPr>
                <w:rFonts w:hint="eastAsia" w:ascii="宋体" w:hAnsi="宋体" w:eastAsia="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rPr>
              <w:t>管理评审频次为一年一次、本次管理评审于</w:t>
            </w:r>
            <w:r>
              <w:rPr>
                <w:rFonts w:hint="eastAsia" w:ascii="宋体" w:hAnsi="宋体" w:eastAsia="宋体" w:cs="宋体"/>
                <w:color w:val="000000"/>
                <w:sz w:val="21"/>
                <w:szCs w:val="21"/>
                <w:lang w:val="en-US" w:eastAsia="zh-CN"/>
              </w:rPr>
              <w:t>2021年1月31日</w:t>
            </w:r>
            <w:r>
              <w:rPr>
                <w:rFonts w:hint="eastAsia" w:ascii="宋体" w:hAnsi="宋体" w:eastAsia="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numPr>
                <w:ilvl w:val="0"/>
                <w:numId w:val="0"/>
              </w:numPr>
              <w:spacing w:line="240" w:lineRule="exact"/>
              <w:ind w:leftChars="0"/>
              <w:rPr>
                <w:rFonts w:ascii="宋体" w:hAnsi="宋体"/>
                <w:b/>
                <w:sz w:val="21"/>
                <w:szCs w:val="21"/>
              </w:rPr>
            </w:pPr>
            <w:r>
              <w:rPr>
                <w:rFonts w:hint="eastAsia" w:ascii="宋体" w:hAnsi="宋体"/>
                <w:b/>
                <w:sz w:val="21"/>
                <w:szCs w:val="21"/>
              </w:rPr>
              <w:t>上</w:t>
            </w:r>
            <w:r>
              <w:rPr>
                <w:rFonts w:hint="eastAsia"/>
                <w:b/>
                <w:szCs w:val="21"/>
              </w:rPr>
              <w:t>次不符合为</w:t>
            </w:r>
            <w:r>
              <w:rPr>
                <w:rFonts w:hint="eastAsia"/>
                <w:b/>
                <w:color w:val="auto"/>
                <w:sz w:val="26"/>
                <w:szCs w:val="26"/>
              </w:rPr>
              <w:t>8.5.2</w:t>
            </w:r>
            <w:r>
              <w:rPr>
                <w:rFonts w:hint="eastAsia"/>
                <w:b/>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2336" behindDoc="0" locked="0" layoutInCell="1" allowOverlap="1">
            <wp:simplePos x="0" y="0"/>
            <wp:positionH relativeFrom="column">
              <wp:posOffset>1790700</wp:posOffset>
            </wp:positionH>
            <wp:positionV relativeFrom="paragraph">
              <wp:posOffset>276860</wp:posOffset>
            </wp:positionV>
            <wp:extent cx="371475" cy="341630"/>
            <wp:effectExtent l="0" t="0" r="9525" b="127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6"/>
          <w:szCs w:val="26"/>
        </w:rPr>
        <w:t>十二、审核组签字</w:t>
      </w:r>
      <w:bookmarkStart w:id="30" w:name="_GoBack"/>
      <w:bookmarkEnd w:id="30"/>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3360" behindDoc="0" locked="0" layoutInCell="1" allowOverlap="1">
            <wp:simplePos x="0" y="0"/>
            <wp:positionH relativeFrom="column">
              <wp:posOffset>2073275</wp:posOffset>
            </wp:positionH>
            <wp:positionV relativeFrom="paragraph">
              <wp:posOffset>101600</wp:posOffset>
            </wp:positionV>
            <wp:extent cx="494030" cy="346710"/>
            <wp:effectExtent l="0" t="0" r="1270" b="1587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94030" cy="34671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2021.04.01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4384" behindDoc="0" locked="0" layoutInCell="1" allowOverlap="1">
            <wp:simplePos x="0" y="0"/>
            <wp:positionH relativeFrom="column">
              <wp:posOffset>1273175</wp:posOffset>
            </wp:positionH>
            <wp:positionV relativeFrom="paragraph">
              <wp:posOffset>64135</wp:posOffset>
            </wp:positionV>
            <wp:extent cx="300990" cy="276860"/>
            <wp:effectExtent l="0" t="0" r="3810" b="889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6" cstate="print"/>
                    <a:srcRect/>
                    <a:stretch>
                      <a:fillRect/>
                    </a:stretch>
                  </pic:blipFill>
                  <pic:spPr>
                    <a:xfrm>
                      <a:off x="0" y="0"/>
                      <a:ext cx="300990" cy="27686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092805CD"/>
    <w:multiLevelType w:val="singleLevel"/>
    <w:tmpl w:val="092805CD"/>
    <w:lvl w:ilvl="0" w:tentative="0">
      <w:start w:val="2"/>
      <w:numFmt w:val="decimal"/>
      <w:lvlText w:val="%1."/>
      <w:lvlJc w:val="left"/>
      <w:pPr>
        <w:tabs>
          <w:tab w:val="left" w:pos="312"/>
        </w:tabs>
      </w:pPr>
    </w:lvl>
  </w:abstractNum>
  <w:abstractNum w:abstractNumId="4">
    <w:nsid w:val="1DDE20DE"/>
    <w:multiLevelType w:val="singleLevel"/>
    <w:tmpl w:val="1DDE20DE"/>
    <w:lvl w:ilvl="0" w:tentative="0">
      <w:start w:val="8"/>
      <w:numFmt w:val="decimal"/>
      <w:suff w:val="space"/>
      <w:lvlText w:val="%1."/>
      <w:lvlJc w:val="left"/>
    </w:lvl>
  </w:abstractNum>
  <w:abstractNum w:abstractNumId="5">
    <w:nsid w:val="1EEBFF49"/>
    <w:multiLevelType w:val="singleLevel"/>
    <w:tmpl w:val="1EEBFF49"/>
    <w:lvl w:ilvl="0" w:tentative="0">
      <w:start w:val="2"/>
      <w:numFmt w:val="decimal"/>
      <w:lvlText w:val="%1."/>
      <w:lvlJc w:val="left"/>
      <w:pPr>
        <w:tabs>
          <w:tab w:val="left" w:pos="312"/>
        </w:tabs>
      </w:pPr>
    </w:lvl>
  </w:abstractNum>
  <w:abstractNum w:abstractNumId="6">
    <w:nsid w:val="45014024"/>
    <w:multiLevelType w:val="singleLevel"/>
    <w:tmpl w:val="45014024"/>
    <w:lvl w:ilvl="0" w:tentative="0">
      <w:start w:val="8"/>
      <w:numFmt w:val="decimal"/>
      <w:lvlText w:val="%1."/>
      <w:lvlJc w:val="left"/>
      <w:pPr>
        <w:tabs>
          <w:tab w:val="left" w:pos="312"/>
        </w:tabs>
      </w:pPr>
    </w:lvl>
  </w:abstractNum>
  <w:abstractNum w:abstractNumId="7">
    <w:nsid w:val="688C3EB5"/>
    <w:multiLevelType w:val="singleLevel"/>
    <w:tmpl w:val="688C3EB5"/>
    <w:lvl w:ilvl="0" w:tentative="0">
      <w:start w:val="2"/>
      <w:numFmt w:val="decimal"/>
      <w:suff w:val="nothing"/>
      <w:lvlText w:val="%1、"/>
      <w:lvlJc w:val="left"/>
    </w:lvl>
  </w:abstractNum>
  <w:num w:numId="1">
    <w:abstractNumId w:val="7"/>
  </w:num>
  <w:num w:numId="2">
    <w:abstractNumId w:val="2"/>
  </w:num>
  <w:num w:numId="3">
    <w:abstractNumId w:val="4"/>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55CE6"/>
    <w:rsid w:val="03F2599A"/>
    <w:rsid w:val="0F693404"/>
    <w:rsid w:val="108C1FFA"/>
    <w:rsid w:val="1F8D0AFE"/>
    <w:rsid w:val="212D272A"/>
    <w:rsid w:val="21902B90"/>
    <w:rsid w:val="21A66BE4"/>
    <w:rsid w:val="2FAA17AC"/>
    <w:rsid w:val="30296104"/>
    <w:rsid w:val="321054EC"/>
    <w:rsid w:val="395203AC"/>
    <w:rsid w:val="3CB67B92"/>
    <w:rsid w:val="3DFF6FDC"/>
    <w:rsid w:val="40AD78C9"/>
    <w:rsid w:val="4F233494"/>
    <w:rsid w:val="528E6793"/>
    <w:rsid w:val="598053DA"/>
    <w:rsid w:val="612B0437"/>
    <w:rsid w:val="643D1FC9"/>
    <w:rsid w:val="696812D4"/>
    <w:rsid w:val="6D033CFC"/>
    <w:rsid w:val="7A214DC5"/>
    <w:rsid w:val="7E4C0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2021-04-01T03:23:10Z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E446ED4E3E4F470BBAC1B61EDBF2E28D</vt:lpwstr>
  </property>
</Properties>
</file>