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张家口和丰建材销售有限公司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Q:29.11.03</w:t>
            </w:r>
          </w:p>
          <w:p>
            <w:pPr>
              <w:spacing w:line="240" w:lineRule="exact"/>
              <w:jc w:val="center"/>
              <w:rPr>
                <w:b/>
                <w:color w:val="000000" w:themeColor="text1"/>
                <w:sz w:val="20"/>
                <w:szCs w:val="20"/>
              </w:rPr>
            </w:pPr>
            <w:r>
              <w:rPr>
                <w:b/>
                <w:color w:val="000000" w:themeColor="text1"/>
                <w:sz w:val="20"/>
                <w:szCs w:val="20"/>
              </w:rPr>
              <w:t>E:29.11.03</w:t>
            </w:r>
          </w:p>
          <w:p>
            <w:pPr>
              <w:spacing w:line="240" w:lineRule="exact"/>
              <w:jc w:val="center"/>
              <w:rPr>
                <w:b/>
                <w:color w:val="000000" w:themeColor="text1"/>
                <w:sz w:val="20"/>
                <w:szCs w:val="20"/>
              </w:rPr>
            </w:pPr>
            <w:r>
              <w:rPr>
                <w:b/>
                <w:color w:val="000000" w:themeColor="text1"/>
                <w:sz w:val="20"/>
                <w:szCs w:val="20"/>
              </w:rP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张家口和丰建材销售有限公司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张家口市万全区宣平堡乡水泉堡村东</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076250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张家口市万全区宣平堡乡水泉堡村东</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076250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薛治江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13831376792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黄俊平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薛治江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Q：建材批发</w:t>
            </w:r>
          </w:p>
          <w:p>
            <w:pPr>
              <w:spacing w:line="320" w:lineRule="exact"/>
              <w:rPr>
                <w:rFonts w:ascii="宋体" w:hAnsi="宋体"/>
                <w:b/>
                <w:color w:val="000000" w:themeColor="text1"/>
                <w:sz w:val="20"/>
                <w:szCs w:val="20"/>
              </w:rPr>
            </w:pPr>
            <w:r>
              <w:rPr>
                <w:rFonts w:ascii="宋体" w:hAnsi="宋体"/>
                <w:b/>
                <w:color w:val="000000" w:themeColor="text1"/>
                <w:sz w:val="20"/>
                <w:szCs w:val="20"/>
              </w:rPr>
              <w:t>E：建材批发所涉及场所的相关环境管理活动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O：建材批发所涉及场所的相关职业健康安全管理活动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Q：29.11.03</w:t>
            </w:r>
          </w:p>
          <w:p>
            <w:pPr>
              <w:spacing w:line="320" w:lineRule="exact"/>
              <w:rPr>
                <w:rFonts w:ascii="宋体" w:hAnsi="宋体"/>
                <w:b/>
                <w:color w:val="000000" w:themeColor="text1"/>
                <w:sz w:val="20"/>
                <w:szCs w:val="20"/>
              </w:rPr>
            </w:pPr>
            <w:r>
              <w:rPr>
                <w:rFonts w:ascii="宋体" w:hAnsi="宋体"/>
                <w:b/>
                <w:color w:val="000000" w:themeColor="text1"/>
                <w:sz w:val="20"/>
                <w:szCs w:val="20"/>
              </w:rPr>
              <w:t>E：29.11.03</w:t>
            </w:r>
          </w:p>
          <w:p>
            <w:pPr>
              <w:spacing w:line="320" w:lineRule="exact"/>
              <w:rPr>
                <w:rFonts w:ascii="宋体" w:hAnsi="宋体"/>
                <w:b/>
                <w:color w:val="000000" w:themeColor="text1"/>
                <w:sz w:val="20"/>
                <w:szCs w:val="20"/>
              </w:rPr>
            </w:pPr>
            <w:r>
              <w:rPr>
                <w:rFonts w:ascii="宋体" w:hAnsi="宋体"/>
                <w:b/>
                <w:color w:val="000000" w:themeColor="text1"/>
                <w:sz w:val="20"/>
                <w:szCs w:val="20"/>
              </w:rPr>
              <w:t>O：29.11.03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eastAsia" w:ascii="宋体" w:hAnsi="宋体" w:eastAsia="宋体"/>
                <w:b/>
                <w:color w:val="000000" w:themeColor="text1"/>
                <w:sz w:val="20"/>
                <w:szCs w:val="20"/>
                <w:lang w:val="en-US" w:eastAsia="zh-CN"/>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/9.1</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eastAsia" w:cs="Times New Roman"/>
                <w:b w:val="0"/>
                <w:bCs w:val="0"/>
                <w:sz w:val="21"/>
                <w:szCs w:val="21"/>
                <w:lang w:val="en-US" w:eastAsia="zh-CN"/>
              </w:rPr>
            </w:pPr>
            <w:r>
              <w:rPr>
                <w:rFonts w:hint="eastAsia" w:cs="Times New Roman"/>
                <w:b w:val="0"/>
                <w:bCs w:val="0"/>
                <w:sz w:val="21"/>
                <w:szCs w:val="21"/>
                <w:lang w:val="en-US" w:eastAsia="zh-CN"/>
              </w:rPr>
              <w:t>Q5.3/6.2/7.1.2/7.1.3/7.1.4/7.1.6/7.2/7.3/7.4/7.5/9.1.1/9.1.3/9.2/10.2</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E</w:t>
            </w:r>
            <w:r>
              <w:rPr>
                <w:rFonts w:hint="eastAsia" w:ascii="Times New Roman" w:hAnsi="Times New Roman" w:eastAsia="宋体" w:cs="Times New Roman"/>
                <w:b w:val="0"/>
                <w:bCs w:val="0"/>
                <w:sz w:val="21"/>
                <w:szCs w:val="21"/>
                <w:lang w:val="en-US" w:eastAsia="zh-CN"/>
              </w:rPr>
              <w:t>5.3/6.1.2/6.1.3/6.2/7.2/7.3/7.4/7.5/8.1/8.2/9.1.1/</w:t>
            </w:r>
            <w:r>
              <w:rPr>
                <w:rFonts w:hint="eastAsia" w:cs="Times New Roman"/>
                <w:b w:val="0"/>
                <w:bCs w:val="0"/>
                <w:sz w:val="21"/>
                <w:szCs w:val="21"/>
                <w:lang w:val="en-US" w:eastAsia="zh-CN"/>
              </w:rPr>
              <w:t>9.1.2/</w:t>
            </w:r>
            <w:r>
              <w:rPr>
                <w:rFonts w:hint="eastAsia" w:ascii="Times New Roman" w:hAnsi="Times New Roman" w:eastAsia="宋体" w:cs="Times New Roman"/>
                <w:b w:val="0"/>
                <w:bCs w:val="0"/>
                <w:sz w:val="21"/>
                <w:szCs w:val="21"/>
                <w:lang w:val="en-US" w:eastAsia="zh-CN"/>
              </w:rPr>
              <w:t>9.2/10.2</w:t>
            </w:r>
          </w:p>
          <w:p>
            <w:pPr>
              <w:jc w:val="both"/>
              <w:rPr>
                <w:rFonts w:ascii="宋体" w:hAnsi="宋体"/>
                <w:b/>
                <w:color w:val="000000" w:themeColor="text1"/>
                <w:spacing w:val="-20"/>
                <w:sz w:val="20"/>
                <w:szCs w:val="20"/>
                <w:u w:val="single"/>
              </w:rPr>
            </w:pPr>
            <w:r>
              <w:rPr>
                <w:rFonts w:hint="eastAsia" w:cs="Times New Roman"/>
                <w:b w:val="0"/>
                <w:bCs w:val="0"/>
                <w:sz w:val="21"/>
                <w:szCs w:val="21"/>
                <w:lang w:val="en-US" w:eastAsia="zh-CN"/>
              </w:rPr>
              <w:t>O5.3/5.4/6.1.2/6.1.3/6.2/7.2/7.3/7.4/7.5/8.1/8.2/9.1.1/9.1.2/9.2/10.2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Q5.3/6.2/7.1.5/8.1/8.2/8.3/8.4/8.5/8.6/8.7/9.1.2</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E5.3/6.1.2/6.2/8.1/8.2；</w:t>
            </w:r>
          </w:p>
          <w:p>
            <w:pPr>
              <w:keepNext w:val="0"/>
              <w:keepLines w:val="0"/>
              <w:pageBreakBefore w:val="0"/>
              <w:widowControl w:val="0"/>
              <w:kinsoku/>
              <w:wordWrap/>
              <w:overflowPunct/>
              <w:topLinePunct w:val="0"/>
              <w:autoSpaceDE/>
              <w:autoSpaceDN/>
              <w:bidi w:val="0"/>
              <w:spacing w:line="300" w:lineRule="exact"/>
              <w:textAlignment w:val="auto"/>
              <w:rPr>
                <w:rFonts w:ascii="宋体" w:hAnsi="宋体"/>
                <w:b/>
                <w:color w:val="000000" w:themeColor="text1"/>
                <w:spacing w:val="-20"/>
                <w:sz w:val="20"/>
                <w:szCs w:val="20"/>
                <w:u w:val="single"/>
              </w:rPr>
            </w:pPr>
            <w:r>
              <w:rPr>
                <w:rFonts w:hint="eastAsia" w:cs="Times New Roman"/>
                <w:b w:val="0"/>
                <w:bCs w:val="0"/>
                <w:sz w:val="21"/>
                <w:szCs w:val="21"/>
                <w:lang w:val="en-US" w:eastAsia="zh-CN"/>
              </w:rPr>
              <w:t>O5.3/6.1.2/6.2/8.1/8.2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财务部</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Q5.3/6.2</w:t>
            </w:r>
          </w:p>
          <w:p>
            <w:pPr>
              <w:jc w:val="both"/>
              <w:rPr>
                <w:rFonts w:ascii="宋体" w:hAnsi="宋体"/>
                <w:b/>
                <w:color w:val="000000" w:themeColor="text1"/>
                <w:spacing w:val="-20"/>
                <w:sz w:val="20"/>
                <w:szCs w:val="20"/>
                <w:u w:val="single"/>
              </w:rPr>
            </w:pPr>
            <w:r>
              <w:rPr>
                <w:rFonts w:hint="eastAsia" w:cs="Times New Roman"/>
                <w:b w:val="0"/>
                <w:bCs w:val="0"/>
                <w:sz w:val="21"/>
                <w:szCs w:val="21"/>
                <w:lang w:val="en-US" w:eastAsia="zh-CN"/>
              </w:rPr>
              <w:t>E</w:t>
            </w:r>
            <w:r>
              <w:rPr>
                <w:rFonts w:hint="eastAsia" w:ascii="Times New Roman" w:hAnsi="Times New Roman" w:eastAsia="宋体" w:cs="Times New Roman"/>
                <w:b w:val="0"/>
                <w:bCs w:val="0"/>
                <w:sz w:val="21"/>
                <w:szCs w:val="21"/>
                <w:lang w:val="en-US" w:eastAsia="zh-CN"/>
              </w:rPr>
              <w:t>O5.3/6.2/</w:t>
            </w:r>
            <w:r>
              <w:rPr>
                <w:rFonts w:hint="eastAsia" w:cs="Times New Roman"/>
                <w:b w:val="0"/>
                <w:bCs w:val="0"/>
                <w:sz w:val="21"/>
                <w:szCs w:val="21"/>
                <w:lang w:val="en-US" w:eastAsia="zh-CN"/>
              </w:rPr>
              <w:t>6.1.2/</w:t>
            </w:r>
            <w:r>
              <w:rPr>
                <w:rFonts w:hint="eastAsia" w:ascii="Times New Roman" w:hAnsi="Times New Roman" w:eastAsia="宋体" w:cs="Times New Roman"/>
                <w:b w:val="0"/>
                <w:bCs w:val="0"/>
                <w:sz w:val="21"/>
                <w:szCs w:val="21"/>
                <w:lang w:val="en-US" w:eastAsia="zh-CN"/>
              </w:rPr>
              <w:t>8.1/8.2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建材批发</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销售</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4</w:t>
      </w:r>
      <w:r>
        <w:rPr>
          <w:rFonts w:hint="eastAsia"/>
          <w:b/>
          <w:color w:val="000000" w:themeColor="text1"/>
          <w:spacing w:val="-10"/>
          <w:szCs w:val="21"/>
        </w:rPr>
        <w:t>日至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相关方需求和期望识别情况</w:t>
            </w:r>
          </w:p>
          <w:p>
            <w:pPr>
              <w:numPr>
                <w:ilvl w:val="0"/>
                <w:numId w:val="0"/>
              </w:numPr>
              <w:spacing w:line="240" w:lineRule="exact"/>
              <w:rPr>
                <w:b/>
                <w:color w:val="000000" w:themeColor="text1"/>
                <w:sz w:val="20"/>
                <w:szCs w:val="20"/>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lang w:val="en-US" w:eastAsia="zh-CN"/>
              </w:rPr>
              <w:t>环境安全</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lang w:eastAsia="zh-CN"/>
              </w:rPr>
              <w:t>、</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rPr>
            </w:pPr>
            <w:r>
              <w:rPr>
                <w:rFonts w:hint="eastAsia"/>
                <w:lang w:val="en-US" w:eastAsia="zh-CN"/>
              </w:rPr>
              <w:t>质量方针：优质产品</w:t>
            </w:r>
            <w:r>
              <w:rPr>
                <w:rFonts w:hint="eastAsia"/>
              </w:rPr>
              <w:t xml:space="preserve">   顾客满意    </w:t>
            </w:r>
            <w:r>
              <w:rPr>
                <w:rFonts w:hint="eastAsia"/>
                <w:lang w:val="en-US" w:eastAsia="zh-CN"/>
              </w:rPr>
              <w:t>守法经营</w:t>
            </w:r>
            <w:r>
              <w:rPr>
                <w:rFonts w:hint="eastAsia"/>
              </w:rPr>
              <w:t xml:space="preserve">   持续改进</w:t>
            </w:r>
          </w:p>
          <w:p>
            <w:pPr>
              <w:spacing w:line="240" w:lineRule="exact"/>
              <w:rPr>
                <w:rFonts w:hint="eastAsia"/>
              </w:rPr>
            </w:pPr>
            <w:r>
              <w:rPr>
                <w:rFonts w:hint="eastAsia"/>
              </w:rPr>
              <w:t xml:space="preserve">环境方针：防污节能   遵规守法   绿色环保   持续改进   </w:t>
            </w:r>
          </w:p>
          <w:p>
            <w:pPr>
              <w:spacing w:line="240" w:lineRule="exact"/>
              <w:rPr>
                <w:rFonts w:hint="eastAsia"/>
              </w:rPr>
            </w:pPr>
            <w:r>
              <w:rPr>
                <w:rFonts w:hint="eastAsia"/>
              </w:rPr>
              <w:t>职业健康安全方针：消除隐患   保障健康   遵规守法   持续改进</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spacing w:line="240" w:lineRule="exact"/>
              <w:rPr>
                <w:b/>
                <w:color w:val="000000" w:themeColor="text1"/>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rPr>
                <w:b/>
                <w:color w:val="000000" w:themeColor="text1"/>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w:t>
            </w:r>
            <w:r>
              <w:rPr>
                <w:rFonts w:hint="eastAsia"/>
                <w:lang w:eastAsia="zh-CN"/>
              </w:rPr>
              <w:t>针对顾客需求的变更</w:t>
            </w:r>
            <w:r>
              <w:rPr>
                <w:rFonts w:hint="eastAsia"/>
              </w:rPr>
              <w:t>，由</w:t>
            </w:r>
            <w:r>
              <w:rPr>
                <w:rFonts w:hint="eastAsia"/>
                <w:lang w:eastAsia="zh-CN"/>
              </w:rPr>
              <w:t>销售部紧密与客户沟通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销售服务</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销售服务</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rPr>
              <w:t xml:space="preserve">   ，不适用理由：</w:t>
            </w:r>
            <w:r>
              <w:rPr>
                <w:rFonts w:hint="eastAsia" w:eastAsia="宋体"/>
                <w:szCs w:val="22"/>
                <w:lang w:val="en-US" w:eastAsia="zh-CN"/>
              </w:rPr>
              <w:t>因公司所销售的产品，按照国家标准及顾客的要求进行</w:t>
            </w:r>
            <w:r>
              <w:rPr>
                <w:rFonts w:hint="eastAsia" w:eastAsia="宋体"/>
                <w:szCs w:val="22"/>
                <w:u w:val="single"/>
                <w:lang w:val="en-US" w:eastAsia="zh-CN"/>
              </w:rPr>
              <w:t>，该条款的不适用,不影响组织确保其产品和服务合格的能力和责任，也不会对增强顾客满意产生影响。</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default" w:ascii="Times New Roman" w:hAnsi="Times New Roman" w:cs="Times New Roman"/>
                <w:sz w:val="21"/>
                <w:szCs w:val="21"/>
                <w:highlight w:val="none"/>
              </w:rPr>
              <w:t>办公与库房管理过程潜在火灾</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废旧墨盒的排放</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口罩的废弃、</w:t>
            </w:r>
            <w:r>
              <w:rPr>
                <w:rFonts w:hint="default" w:ascii="Times New Roman" w:hAnsi="Times New Roman" w:cs="Times New Roman"/>
                <w:sz w:val="21"/>
                <w:szCs w:val="21"/>
                <w:highlight w:val="none"/>
              </w:rPr>
              <w:t>车辆油品泄漏</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宋体" w:hAnsi="宋体"/>
                <w:sz w:val="21"/>
                <w:szCs w:val="21"/>
                <w:lang w:val="en-US" w:eastAsia="zh-CN"/>
              </w:rPr>
              <w:t>办公室组织</w:t>
            </w:r>
            <w:r>
              <w:rPr>
                <w:rFonts w:hint="eastAsia" w:ascii="宋体" w:hAnsi="宋体"/>
                <w:color w:val="auto"/>
                <w:sz w:val="21"/>
                <w:szCs w:val="21"/>
                <w:lang w:val="en-US" w:eastAsia="zh-CN"/>
              </w:rPr>
              <w:t>全体部门所涉及的危险源进行识别，并评价出重大危险源，提供重大危险源评价记录，目前危险源识别基本完整，评价的</w:t>
            </w:r>
            <w:r>
              <w:rPr>
                <w:rFonts w:hint="eastAsia"/>
                <w:color w:val="auto"/>
              </w:rPr>
              <w:t>不可接受风险</w:t>
            </w:r>
            <w:r>
              <w:rPr>
                <w:rFonts w:hint="eastAsia"/>
                <w:color w:val="auto"/>
                <w:lang w:eastAsia="zh-CN"/>
              </w:rPr>
              <w:t>为</w:t>
            </w:r>
            <w:r>
              <w:rPr>
                <w:rFonts w:hint="eastAsia"/>
                <w:color w:val="auto"/>
                <w:sz w:val="21"/>
                <w:szCs w:val="21"/>
              </w:rPr>
              <w:t>火灾、触电、</w:t>
            </w:r>
            <w:r>
              <w:rPr>
                <w:rFonts w:hint="eastAsia"/>
                <w:color w:val="auto"/>
                <w:sz w:val="21"/>
                <w:szCs w:val="21"/>
                <w:lang w:val="en-US" w:eastAsia="zh-CN"/>
              </w:rPr>
              <w:t>人身</w:t>
            </w:r>
            <w:r>
              <w:rPr>
                <w:rFonts w:hint="eastAsia"/>
                <w:color w:val="auto"/>
                <w:sz w:val="21"/>
                <w:szCs w:val="21"/>
              </w:rPr>
              <w:t>伤害</w:t>
            </w:r>
            <w:r>
              <w:rPr>
                <w:rFonts w:hint="eastAsia"/>
                <w:color w:val="auto"/>
                <w:sz w:val="21"/>
                <w:szCs w:val="21"/>
                <w:lang w:eastAsia="zh-CN"/>
              </w:rPr>
              <w:t>、</w:t>
            </w:r>
            <w:r>
              <w:rPr>
                <w:rFonts w:hint="eastAsia"/>
                <w:color w:val="auto"/>
                <w:sz w:val="21"/>
                <w:szCs w:val="21"/>
                <w:lang w:val="en-US" w:eastAsia="zh-CN"/>
              </w:rPr>
              <w:t>病毒感染与传播</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tabs>
                <w:tab w:val="left" w:pos="540"/>
              </w:tabs>
              <w:spacing w:line="240" w:lineRule="exact"/>
              <w:rPr>
                <w:rFonts w:hint="eastAsia"/>
                <w:lang w:val="en-US" w:eastAsia="zh-CN"/>
              </w:rPr>
            </w:pPr>
            <w:r>
              <w:rPr>
                <w:rFonts w:hint="eastAsia"/>
                <w:lang w:val="en-US" w:eastAsia="zh-CN"/>
              </w:rPr>
              <w:t>质量目标是：1）产品交付合格率100%；2）顾客满意率≧95%以上；</w:t>
            </w:r>
          </w:p>
          <w:p>
            <w:pPr>
              <w:tabs>
                <w:tab w:val="left" w:pos="540"/>
              </w:tabs>
              <w:spacing w:line="240" w:lineRule="exact"/>
              <w:rPr>
                <w:rFonts w:hint="eastAsia"/>
                <w:lang w:val="en-US" w:eastAsia="zh-CN"/>
              </w:rPr>
            </w:pPr>
            <w:r>
              <w:rPr>
                <w:rFonts w:hint="eastAsia"/>
                <w:lang w:val="en-US" w:eastAsia="zh-CN"/>
              </w:rPr>
              <w:t>环境与职业健康安全目标：1）固废废弃物分类处置率100%；2）火灾爆炸事故0发生；3）触电事故0发生；4）重大责任交通事故为零；5）重大安全事故、人员重伤死亡为0；</w:t>
            </w:r>
          </w:p>
          <w:p>
            <w:pPr>
              <w:spacing w:line="240" w:lineRule="exact"/>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w:t>
            </w:r>
            <w:r>
              <w:rPr>
                <w:rFonts w:hint="eastAsia" w:ascii="Times New Roman" w:hAnsi="Times New Roman" w:cs="宋体"/>
                <w:lang w:eastAsia="zh-CN"/>
              </w:rPr>
              <w:t>每半年</w:t>
            </w:r>
            <w:r>
              <w:rPr>
                <w:rFonts w:hint="eastAsia" w:ascii="Times New Roman" w:hAnsi="Times New Roman" w:cs="宋体"/>
              </w:rPr>
              <w:t>考核一次，</w:t>
            </w:r>
            <w:r>
              <w:rPr>
                <w:rFonts w:hint="eastAsia" w:ascii="Times New Roman" w:hAnsi="Times New Roman" w:cs="宋体"/>
                <w:lang w:val="en-US" w:eastAsia="zh-CN"/>
              </w:rPr>
              <w:t>现场查看2020年下半年各部门目标考核记录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cs="宋体"/>
                <w:lang w:val="en-US" w:eastAsia="zh-CN"/>
              </w:rPr>
              <w:t>办公室</w:t>
            </w:r>
            <w:r>
              <w:rPr>
                <w:rFonts w:hint="eastAsia" w:ascii="Times New Roman" w:hAnsi="Times New Roman" w:cs="宋体"/>
              </w:rPr>
              <w:t>组织编写，总经理批准发布实施，</w:t>
            </w:r>
            <w:r>
              <w:rPr>
                <w:rFonts w:hint="eastAsia" w:cs="宋体"/>
                <w:lang w:val="en-US" w:eastAsia="zh-CN"/>
              </w:rPr>
              <w:t>办公室</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val="en-US"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val="en-US"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电脑、一体机、电话、货架等办公及仓储设备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sz w:val="21"/>
                <w:szCs w:val="21"/>
                <w:lang w:val="en-US" w:eastAsia="zh-CN"/>
              </w:rPr>
              <w:t>公司经营店</w:t>
            </w:r>
            <w:r>
              <w:rPr>
                <w:rFonts w:hint="eastAsia" w:ascii="Times New Roman" w:hAnsi="Times New Roman" w:eastAsia="宋体" w:cs="宋体"/>
                <w:lang w:val="en-US" w:eastAsia="zh-CN"/>
              </w:rPr>
              <w:t>址：</w:t>
            </w:r>
            <w:r>
              <w:rPr>
                <w:rFonts w:hint="eastAsia" w:ascii="Times New Roman" w:hAnsi="Times New Roman" w:eastAsia="宋体" w:cs="宋体"/>
              </w:rPr>
              <w:t>张家口市万全区宣平堡乡水泉堡村东</w:t>
            </w:r>
            <w:r>
              <w:rPr>
                <w:rFonts w:hint="eastAsia" w:ascii="Times New Roman" w:hAnsi="Times New Roman" w:eastAsia="宋体" w:cs="宋体"/>
                <w:lang w:eastAsia="zh-CN"/>
              </w:rPr>
              <w:t>；办公区域面积</w:t>
            </w:r>
            <w:r>
              <w:rPr>
                <w:rFonts w:hint="eastAsia" w:ascii="Times New Roman" w:hAnsi="Times New Roman" w:eastAsia="宋体" w:cs="宋体"/>
                <w:lang w:val="en-US" w:eastAsia="zh-CN"/>
              </w:rPr>
              <w:t>350平米，</w:t>
            </w:r>
            <w:r>
              <w:rPr>
                <w:rFonts w:hint="eastAsia" w:ascii="Times New Roman" w:hAnsi="Times New Roman" w:eastAsia="宋体" w:cs="宋体"/>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sz w:val="21"/>
                <w:szCs w:val="21"/>
              </w:rPr>
              <w:t>公司对法律法规及其他要求进行了获取，</w:t>
            </w:r>
            <w:r>
              <w:rPr>
                <w:rFonts w:hint="default"/>
                <w:szCs w:val="22"/>
                <w:lang w:eastAsia="zh-CN"/>
              </w:rPr>
              <w:t>包括</w:t>
            </w:r>
            <w:r>
              <w:rPr>
                <w:rFonts w:hint="eastAsia"/>
                <w:szCs w:val="22"/>
                <w:lang w:val="en-US" w:eastAsia="zh-CN"/>
              </w:rPr>
              <w:t>劳动合同法</w:t>
            </w:r>
            <w:r>
              <w:rPr>
                <w:rFonts w:hint="default"/>
                <w:szCs w:val="22"/>
              </w:rPr>
              <w:t>、</w:t>
            </w:r>
            <w:r>
              <w:rPr>
                <w:rFonts w:hint="eastAsia"/>
                <w:szCs w:val="22"/>
                <w:lang w:val="en-US" w:eastAsia="zh-CN"/>
              </w:rPr>
              <w:t>环境保护法、消防法、清洁生产促进法、工伤保险条例、建设项目环境保护管理条例、劳动争议调解仲裁法、劳动防护用品产品质量监督检验暂行管理办法、质量管理体系要求、环境管理体系要求及使用指南、职业健康安全管理体系要求及使用指南、通用硅酸盐水泥GB175-2007、水泥化学分析方法GB/T 176-2017、铝酸盐水泥GB/T 201-2015、水泥细度检验方法-筛吸法GB/T 1345-2005、钢筋混凝土用钢GB/T 1499、用于水泥和混凝土中的粉煤灰GB/T 1596-2017、聚羧酸系高性能减水剂JG/T 223-2017等法律法规及其他要求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240" w:lineRule="exact"/>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240" w:lineRule="exact"/>
              <w:rPr>
                <w:rFonts w:hint="eastAsia"/>
              </w:rPr>
            </w:pPr>
            <w:r>
              <w:rPr>
                <w:rFonts w:hint="eastAsia"/>
                <w:lang w:val="en-US" w:eastAsia="zh-CN"/>
              </w:rPr>
              <w:t>质量方针：优质产品</w:t>
            </w:r>
            <w:r>
              <w:rPr>
                <w:rFonts w:hint="eastAsia"/>
              </w:rPr>
              <w:t xml:space="preserve">   顾客满意    </w:t>
            </w:r>
            <w:r>
              <w:rPr>
                <w:rFonts w:hint="eastAsia"/>
                <w:lang w:val="en-US" w:eastAsia="zh-CN"/>
              </w:rPr>
              <w:t>守法经营</w:t>
            </w:r>
            <w:r>
              <w:rPr>
                <w:rFonts w:hint="eastAsia"/>
              </w:rPr>
              <w:t xml:space="preserve">   持续改进</w:t>
            </w:r>
          </w:p>
          <w:p>
            <w:pPr>
              <w:spacing w:line="240" w:lineRule="exact"/>
              <w:rPr>
                <w:rFonts w:hint="eastAsia"/>
              </w:rPr>
            </w:pPr>
            <w:r>
              <w:rPr>
                <w:rFonts w:hint="eastAsia"/>
              </w:rPr>
              <w:t xml:space="preserve">环境方针：防污节能   遵规守法   绿色环保   持续改进   </w:t>
            </w:r>
          </w:p>
          <w:p>
            <w:pPr>
              <w:spacing w:line="240" w:lineRule="exact"/>
              <w:rPr>
                <w:rFonts w:hint="eastAsia"/>
              </w:rPr>
            </w:pPr>
            <w:r>
              <w:rPr>
                <w:rFonts w:hint="eastAsia"/>
              </w:rPr>
              <w:t>职业健康安全方针：消除隐患   保障健康   遵规守法   持续改进</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spacing w:line="300" w:lineRule="exact"/>
              <w:ind w:left="1"/>
              <w:rPr>
                <w:b/>
                <w:color w:val="000000" w:themeColor="text1"/>
                <w:sz w:val="20"/>
                <w:szCs w:val="20"/>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Times New Roman"/>
                <w:szCs w:val="21"/>
                <w:lang w:val="en-US" w:eastAsia="zh-CN"/>
              </w:rPr>
              <w:t>与上</w:t>
            </w:r>
            <w:r>
              <w:rPr>
                <w:rFonts w:hint="eastAsia" w:ascii="宋体" w:hAnsi="宋体"/>
                <w:szCs w:val="21"/>
              </w:rPr>
              <w:t>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3.  QMS 组织对重要过程实施控制的结果</w:t>
            </w:r>
          </w:p>
          <w:p>
            <w:pPr>
              <w:spacing w:line="240" w:lineRule="exact"/>
              <w:ind w:left="193" w:leftChars="42" w:hanging="105" w:hangingChars="50"/>
            </w:pPr>
            <w:r>
              <w:rPr>
                <w:rFonts w:hint="eastAsia"/>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pPr>
            <w:r>
              <w:rPr>
                <w:rFonts w:hint="eastAsia"/>
              </w:rPr>
              <w:t>1.</w:t>
            </w:r>
            <w:r>
              <w:rPr>
                <w:rFonts w:hint="eastAsia"/>
                <w:lang w:val="en-US" w:eastAsia="zh-CN"/>
              </w:rPr>
              <w:t>与顾客有关过程的控制</w:t>
            </w:r>
            <w:r>
              <w:rPr>
                <w:rFonts w:hint="eastAsia"/>
              </w:rPr>
              <w:t>：主要根据顾客提出的产品</w:t>
            </w:r>
            <w:r>
              <w:rPr>
                <w:rFonts w:hint="eastAsia"/>
                <w:lang w:val="en-US" w:eastAsia="zh-CN"/>
              </w:rPr>
              <w:t>和服务</w:t>
            </w:r>
            <w:r>
              <w:rPr>
                <w:rFonts w:hint="eastAsia"/>
              </w:rPr>
              <w:t>要求/标书中明示要求等进行控制，要求进行合同评审确保能满足客户需求，</w:t>
            </w:r>
            <w:r>
              <w:rPr>
                <w:rFonts w:hint="eastAsia"/>
                <w:lang w:eastAsia="zh-CN"/>
              </w:rPr>
              <w:t>在签订正式合同前，由</w:t>
            </w:r>
            <w:r>
              <w:rPr>
                <w:rFonts w:hint="eastAsia"/>
                <w:lang w:val="en-US" w:eastAsia="zh-CN"/>
              </w:rPr>
              <w:t>销售部</w:t>
            </w:r>
            <w:r>
              <w:rPr>
                <w:rFonts w:hint="eastAsia"/>
                <w:lang w:eastAsia="zh-CN"/>
              </w:rPr>
              <w:t>组织进行合同评审，</w:t>
            </w:r>
            <w:r>
              <w:rPr>
                <w:rFonts w:hint="eastAsia"/>
                <w:lang w:val="en-US" w:eastAsia="zh-CN"/>
              </w:rPr>
              <w:t>目前控制情况符合要求</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pPr>
            <w:r>
              <w:rPr>
                <w:rFonts w:hint="eastAsia"/>
              </w:rPr>
              <w:t>2.采购过程控制：</w:t>
            </w:r>
            <w:r>
              <w:rPr>
                <w:rFonts w:hint="eastAsia"/>
                <w:lang w:val="en-US" w:eastAsia="zh-CN"/>
              </w:rPr>
              <w:t>主要采购盘螺、螺纹钢、矿渣粉、散装水泥等，</w:t>
            </w:r>
            <w:r>
              <w:rPr>
                <w:rFonts w:hint="eastAsia"/>
              </w:rPr>
              <w:t>编制</w:t>
            </w:r>
            <w:r>
              <w:rPr>
                <w:rFonts w:hint="eastAsia"/>
                <w:lang w:eastAsia="zh-CN"/>
              </w:rPr>
              <w:t>进货检验规范</w:t>
            </w:r>
            <w:r>
              <w:rPr>
                <w:rFonts w:hint="eastAsia"/>
              </w:rPr>
              <w:t>等作业文件规定采购产品质量要求；其次对供方进行了评价。</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pPr>
            <w:r>
              <w:rPr>
                <w:rFonts w:hint="eastAsia"/>
              </w:rPr>
              <w:t>3.生产和服务提供</w:t>
            </w:r>
            <w:r>
              <w:rPr>
                <w:rFonts w:hint="eastAsia"/>
                <w:lang w:val="en-US" w:eastAsia="zh-CN"/>
              </w:rPr>
              <w:t>的控制</w:t>
            </w:r>
            <w:r>
              <w:rPr>
                <w:rFonts w:hint="eastAsia"/>
              </w:rPr>
              <w:t>：</w:t>
            </w:r>
            <w:r>
              <w:rPr>
                <w:rFonts w:hint="eastAsia"/>
                <w:lang w:val="en-US" w:eastAsia="zh-CN"/>
              </w:rPr>
              <w:t>根据国家法律法规要求、顾客要求，编制了《</w:t>
            </w:r>
            <w:r>
              <w:rPr>
                <w:rFonts w:hint="eastAsia"/>
              </w:rPr>
              <w:t>与顾客有关的过程控制程序</w:t>
            </w:r>
            <w:r>
              <w:rPr>
                <w:rFonts w:hint="eastAsia"/>
                <w:lang w:val="en-US" w:eastAsia="zh-CN"/>
              </w:rPr>
              <w:t>》、《</w:t>
            </w:r>
            <w:r>
              <w:rPr>
                <w:rFonts w:hint="eastAsia"/>
              </w:rPr>
              <w:t>服务过程控制程序</w:t>
            </w:r>
            <w:r>
              <w:rPr>
                <w:rFonts w:hint="eastAsia"/>
                <w:lang w:val="en-US" w:eastAsia="zh-CN"/>
              </w:rPr>
              <w:t>》、《</w:t>
            </w:r>
            <w:r>
              <w:rPr>
                <w:rFonts w:hint="eastAsia"/>
              </w:rPr>
              <w:t>顾客满</w:t>
            </w:r>
            <w:r>
              <w:rPr>
                <w:rFonts w:hint="eastAsia"/>
                <w:lang w:eastAsia="zh-CN"/>
              </w:rPr>
              <w:t>度的监视和测量控制</w:t>
            </w:r>
            <w:r>
              <w:rPr>
                <w:rFonts w:hint="eastAsia"/>
              </w:rPr>
              <w:t>程序</w:t>
            </w:r>
            <w:r>
              <w:rPr>
                <w:rFonts w:hint="eastAsia"/>
                <w:lang w:eastAsia="zh-CN"/>
              </w:rPr>
              <w:t>》</w:t>
            </w:r>
            <w:r>
              <w:rPr>
                <w:rFonts w:hint="eastAsia"/>
                <w:lang w:val="en-US" w:eastAsia="zh-CN"/>
              </w:rPr>
              <w:t>，由项目负责人组织人员、物资等资源进行销售服务，行跟踪</w:t>
            </w:r>
            <w:r>
              <w:rPr>
                <w:rFonts w:hint="eastAsia"/>
              </w:rPr>
              <w:t>，</w:t>
            </w:r>
            <w:r>
              <w:rPr>
                <w:rFonts w:hint="eastAsia"/>
                <w:lang w:val="en-US" w:eastAsia="zh-CN"/>
              </w:rPr>
              <w:t>评审服务的完成情况、服务</w:t>
            </w:r>
            <w:r>
              <w:rPr>
                <w:rFonts w:hint="eastAsia"/>
              </w:rPr>
              <w:t>质量等，目前生产和服务过程控制情况较好。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pPr>
            <w:r>
              <w:rPr>
                <w:rFonts w:hint="eastAsia"/>
              </w:rPr>
              <w:t>4.</w:t>
            </w:r>
            <w:r>
              <w:rPr>
                <w:rFonts w:hint="eastAsia"/>
                <w:lang w:val="en-US" w:eastAsia="zh-CN"/>
              </w:rPr>
              <w:t>产品和服务的放行</w:t>
            </w:r>
            <w:r>
              <w:rPr>
                <w:rFonts w:hint="eastAsia"/>
              </w:rPr>
              <w:t>：</w:t>
            </w:r>
            <w:r>
              <w:rPr>
                <w:rFonts w:hint="eastAsia"/>
                <w:lang w:val="en-US" w:eastAsia="zh-CN"/>
              </w:rPr>
              <w:t>根据顾客要求进行服务，提供服务后由顾客确认，并部门主管对服务质量进行检查</w:t>
            </w:r>
            <w:r>
              <w:rPr>
                <w:rFonts w:hint="eastAsia"/>
              </w:rPr>
              <w:t>。收集顾客的反馈信息，开展顾客满意度调查，包括顾客抱怨和投诉，体系建立以来未发生顾客投诉事件。</w:t>
            </w:r>
          </w:p>
          <w:p>
            <w:pPr>
              <w:spacing w:line="240" w:lineRule="exact"/>
              <w:rPr>
                <w:rFonts w:hint="eastAsia"/>
                <w:lang w:eastAsia="zh-CN"/>
              </w:rPr>
            </w:pPr>
            <w:r>
              <w:rPr>
                <w:rFonts w:hint="eastAsia"/>
              </w:rPr>
              <w:t>5.变更的控制：</w:t>
            </w:r>
            <w:r>
              <w:rPr>
                <w:rFonts w:hint="eastAsia"/>
                <w:lang w:val="en-US" w:eastAsia="zh-CN"/>
              </w:rPr>
              <w:t>销售</w:t>
            </w:r>
            <w:r>
              <w:rPr>
                <w:rFonts w:hint="eastAsia"/>
              </w:rPr>
              <w:t>合同</w:t>
            </w:r>
            <w:r>
              <w:rPr>
                <w:rFonts w:hint="eastAsia"/>
                <w:lang w:val="en-US" w:eastAsia="zh-CN"/>
              </w:rPr>
              <w:t>/协议</w:t>
            </w:r>
            <w:r>
              <w:rPr>
                <w:rFonts w:hint="eastAsia"/>
              </w:rPr>
              <w:t>评审后，按合同要求进行</w:t>
            </w:r>
            <w:r>
              <w:rPr>
                <w:rFonts w:hint="eastAsia"/>
                <w:lang w:val="en-US" w:eastAsia="zh-CN"/>
              </w:rPr>
              <w:t>采购、配送</w:t>
            </w:r>
            <w:r>
              <w:rPr>
                <w:rFonts w:hint="eastAsia"/>
              </w:rPr>
              <w:t>并交付，如发现标的物与顾客要求不一致的，与客户商量，重新签订合同，交货期延期的，与顾客商量，得到顾客确认后，再及时</w:t>
            </w:r>
            <w:r>
              <w:rPr>
                <w:rFonts w:hint="eastAsia"/>
                <w:lang w:val="en-US" w:eastAsia="zh-CN"/>
              </w:rPr>
              <w:t>调整</w:t>
            </w:r>
            <w:r>
              <w:rPr>
                <w:rFonts w:hint="eastAsia"/>
              </w:rPr>
              <w:t>，并对延期的原因进行分析，避免下次再发生，经了解，目前没有发生对生产和服务提供的更改的情况</w:t>
            </w:r>
            <w:r>
              <w:rPr>
                <w:rFonts w:hint="eastAsia"/>
                <w:lang w:eastAsia="zh-CN"/>
              </w:rPr>
              <w:t>。</w:t>
            </w:r>
          </w:p>
          <w:p>
            <w:pPr>
              <w:pStyle w:val="2"/>
              <w:jc w:val="left"/>
              <w:rPr>
                <w:rFonts w:hint="default"/>
                <w:lang w:val="en-US"/>
              </w:rPr>
            </w:pPr>
            <w:r>
              <w:rPr>
                <w:rFonts w:hint="eastAsia"/>
                <w:sz w:val="21"/>
                <w:szCs w:val="21"/>
                <w:lang w:val="en-US" w:eastAsia="zh-CN"/>
              </w:rPr>
              <w:t>现场补充查看，均符合要求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val="0"/>
                <w:bCs/>
                <w:color w:val="000000" w:themeColor="text1"/>
                <w:sz w:val="20"/>
                <w:szCs w:val="20"/>
              </w:rPr>
            </w:pPr>
            <w:r>
              <w:rPr>
                <w:rFonts w:hint="eastAsia"/>
                <w:b w:val="0"/>
                <w:bCs/>
                <w:color w:val="000000" w:themeColor="text1"/>
                <w:sz w:val="20"/>
                <w:szCs w:val="20"/>
                <w:lang w:val="en-US" w:eastAsia="zh-CN"/>
              </w:rPr>
              <w:t>主要满足客户要求，目前向顾客提供的服务均符合要求</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rPr>
                <w:b/>
                <w:color w:val="000000" w:themeColor="text1"/>
                <w:sz w:val="20"/>
                <w:szCs w:val="20"/>
              </w:rPr>
            </w:pPr>
            <w:r>
              <w:rPr>
                <w:rFonts w:hint="eastAsia"/>
                <w:b w:val="0"/>
                <w:bCs/>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sz w:val="21"/>
                <w:szCs w:val="21"/>
                <w:lang w:val="en-GB"/>
              </w:rPr>
              <w:t>编制</w:t>
            </w:r>
            <w:r>
              <w:rPr>
                <w:rFonts w:hint="eastAsia" w:ascii="宋体" w:hAnsi="宋体" w:eastAsia="宋体" w:cs="宋体"/>
                <w:b w:val="0"/>
                <w:bCs/>
                <w:sz w:val="21"/>
              </w:rPr>
              <w:t>危险源、环境因素识别和评价控制程序</w:t>
            </w:r>
            <w:r>
              <w:rPr>
                <w:rFonts w:hint="eastAsia" w:ascii="宋体" w:hAnsi="宋体"/>
                <w:color w:val="000000"/>
                <w:szCs w:val="21"/>
                <w:lang w:eastAsia="zh-CN"/>
              </w:rPr>
              <w:t>、</w:t>
            </w:r>
            <w:r>
              <w:rPr>
                <w:rFonts w:hint="eastAsia" w:ascii="宋体" w:hAnsi="宋体" w:eastAsia="宋体" w:cs="宋体"/>
              </w:rPr>
              <w:t>健康、安全与环境运行控制程序</w:t>
            </w:r>
            <w:r>
              <w:rPr>
                <w:rFonts w:hint="eastAsia" w:ascii="宋体" w:hAnsi="宋体" w:eastAsia="宋体" w:cs="宋体"/>
                <w:lang w:eastAsia="zh-CN"/>
              </w:rPr>
              <w:t>、办公区管理制度、进入顾客现场管理制度、三级安全教育制度，</w:t>
            </w:r>
            <w:r>
              <w:rPr>
                <w:rFonts w:hint="eastAsia"/>
                <w:sz w:val="21"/>
                <w:szCs w:val="21"/>
              </w:rPr>
              <w:t>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提供有办公区5S检查表、相关方告知书。</w:t>
            </w:r>
            <w:r>
              <w:rPr>
                <w:rFonts w:hint="eastAsia"/>
                <w:color w:val="auto"/>
                <w:sz w:val="21"/>
                <w:szCs w:val="21"/>
                <w:lang w:val="en-US" w:eastAsia="zh-CN"/>
              </w:rPr>
              <w:t>未能提供对供方</w:t>
            </w:r>
            <w:r>
              <w:rPr>
                <w:rFonts w:hint="eastAsia" w:ascii="方正仿宋简体" w:eastAsia="方正仿宋简体"/>
                <w:b w:val="0"/>
                <w:bCs/>
                <w:color w:val="auto"/>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b/>
                <w:color w:val="000000" w:themeColor="text1"/>
                <w:sz w:val="20"/>
                <w:szCs w:val="20"/>
              </w:rPr>
            </w:pPr>
            <w:r>
              <w:rPr>
                <w:rFonts w:hint="eastAsia"/>
                <w:sz w:val="21"/>
                <w:szCs w:val="21"/>
                <w:lang w:val="en-GB"/>
              </w:rPr>
              <w:t>编制</w:t>
            </w:r>
            <w:r>
              <w:rPr>
                <w:rFonts w:hint="eastAsia" w:ascii="宋体" w:hAnsi="宋体" w:eastAsia="宋体" w:cs="宋体"/>
                <w:b w:val="0"/>
                <w:bCs/>
                <w:sz w:val="21"/>
              </w:rPr>
              <w:t>危险源、环境因素识别和评价控制程序</w:t>
            </w:r>
            <w:r>
              <w:rPr>
                <w:rFonts w:hint="eastAsia" w:ascii="宋体" w:hAnsi="宋体"/>
                <w:color w:val="000000"/>
                <w:szCs w:val="21"/>
                <w:lang w:eastAsia="zh-CN"/>
              </w:rPr>
              <w:t>、</w:t>
            </w:r>
            <w:r>
              <w:rPr>
                <w:rFonts w:hint="eastAsia" w:ascii="宋体" w:hAnsi="宋体" w:eastAsia="宋体" w:cs="宋体"/>
              </w:rPr>
              <w:t>健康、安全与环境运行控制程序</w:t>
            </w:r>
            <w:r>
              <w:rPr>
                <w:rFonts w:hint="eastAsia"/>
                <w:sz w:val="21"/>
                <w:szCs w:val="21"/>
                <w:lang w:val="en-GB"/>
              </w:rPr>
              <w:t>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w:t>
            </w:r>
            <w:r>
              <w:rPr>
                <w:rFonts w:hint="eastAsia"/>
                <w:sz w:val="21"/>
                <w:szCs w:val="21"/>
                <w:lang w:eastAsia="zh-CN"/>
              </w:rPr>
              <w:t>病毒感染、</w:t>
            </w:r>
            <w:r>
              <w:rPr>
                <w:rFonts w:hint="eastAsia"/>
                <w:sz w:val="21"/>
                <w:szCs w:val="21"/>
              </w:rPr>
              <w:t>相关方施加影响等进行控制，具体措施有对员工进行安全教育，对相关方进行告知</w:t>
            </w:r>
            <w:r>
              <w:rPr>
                <w:rFonts w:hint="eastAsia"/>
                <w:color w:val="auto"/>
                <w:sz w:val="21"/>
                <w:szCs w:val="21"/>
              </w:rPr>
              <w:t>，</w:t>
            </w:r>
            <w:r>
              <w:rPr>
                <w:rFonts w:hint="eastAsia"/>
                <w:color w:val="auto"/>
                <w:sz w:val="21"/>
                <w:szCs w:val="21"/>
                <w:lang w:val="en-US" w:eastAsia="zh-CN"/>
              </w:rPr>
              <w:t>但未能提供对供方</w:t>
            </w:r>
            <w:r>
              <w:rPr>
                <w:rFonts w:hint="eastAsia" w:ascii="方正仿宋简体" w:eastAsia="方正仿宋简体"/>
                <w:b w:val="0"/>
                <w:bCs/>
                <w:color w:val="auto"/>
                <w:lang w:val="en-US" w:eastAsia="zh-CN"/>
              </w:rPr>
              <w:t>施加影响的证据。</w:t>
            </w:r>
            <w:r>
              <w:rPr>
                <w:rFonts w:hint="eastAsia"/>
                <w:color w:val="auto"/>
                <w:sz w:val="21"/>
                <w:szCs w:val="21"/>
              </w:rPr>
              <w:t>办公区域干净整洁，配置灭火器等消防设施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sz w:val="21"/>
                <w:szCs w:val="21"/>
                <w:lang w:val="en-GB"/>
              </w:rPr>
              <w:t>编制应急准备和响应控制程序，识别的潜在意外紧急情况为火灾、触电</w:t>
            </w:r>
            <w:r>
              <w:rPr>
                <w:rFonts w:hint="eastAsia"/>
                <w:sz w:val="21"/>
                <w:szCs w:val="21"/>
                <w:lang w:val="en-GB" w:eastAsia="zh-CN"/>
              </w:rPr>
              <w:t>、感染新冠肺炎</w:t>
            </w:r>
            <w:r>
              <w:rPr>
                <w:rFonts w:hint="eastAsia"/>
                <w:sz w:val="21"/>
                <w:szCs w:val="21"/>
                <w:lang w:val="en-GB"/>
              </w:rPr>
              <w:t>等。编制了应急预案，组织了消防演练</w:t>
            </w:r>
            <w:r>
              <w:rPr>
                <w:rFonts w:hint="eastAsia"/>
                <w:sz w:val="21"/>
                <w:szCs w:val="21"/>
                <w:lang w:val="en-US" w:eastAsia="zh-CN"/>
              </w:rPr>
              <w:t>演练、触电应急演练、突发新冠肺炎疑似病例事件演练</w:t>
            </w:r>
            <w:r>
              <w:rPr>
                <w:rFonts w:hint="eastAsia"/>
                <w:sz w:val="21"/>
                <w:szCs w:val="21"/>
                <w:lang w:val="en-GB"/>
              </w:rPr>
              <w:t>，提供了</w:t>
            </w:r>
            <w:r>
              <w:rPr>
                <w:rFonts w:hint="eastAsia"/>
                <w:sz w:val="21"/>
                <w:szCs w:val="21"/>
                <w:lang w:val="en-GB" w:eastAsia="zh-CN"/>
              </w:rPr>
              <w:t>相应</w:t>
            </w:r>
            <w:r>
              <w:rPr>
                <w:rFonts w:hint="eastAsia"/>
                <w:sz w:val="21"/>
                <w:szCs w:val="21"/>
                <w:lang w:val="en-GB"/>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11 .对危险化学品销售、使用、储存、运输处置，规定的执行力度(必要时);</w:t>
            </w:r>
          </w:p>
          <w:p>
            <w:pPr>
              <w:rPr>
                <w:rFonts w:hint="default" w:eastAsia="宋体"/>
                <w:lang w:val="en-US" w:eastAsia="zh-CN"/>
              </w:rPr>
            </w:pPr>
            <w:r>
              <w:rPr>
                <w:rFonts w:hint="eastAsia"/>
                <w:lang w:val="en-US" w:eastAsia="zh-CN"/>
              </w:rPr>
              <w:t>公司销售的产品不涉及危险化学品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eastAsia="zh-CN"/>
              </w:rPr>
              <w:t>半年</w:t>
            </w:r>
            <w:r>
              <w:rPr>
                <w:rFonts w:hint="eastAsia"/>
                <w:sz w:val="21"/>
                <w:szCs w:val="21"/>
              </w:rPr>
              <w:t>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rFonts w:hint="default" w:eastAsia="宋体"/>
                <w:b/>
                <w:color w:val="000000" w:themeColor="text1"/>
                <w:sz w:val="20"/>
                <w:szCs w:val="20"/>
                <w:lang w:val="en-US" w:eastAsia="zh-CN"/>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cs="Times New Roman"/>
                <w:sz w:val="21"/>
                <w:szCs w:val="21"/>
                <w:lang w:val="zh-CN"/>
              </w:rPr>
              <w:t>。</w:t>
            </w:r>
            <w:r>
              <w:rPr>
                <w:rFonts w:hint="eastAsia" w:cs="Times New Roman"/>
                <w:sz w:val="21"/>
                <w:szCs w:val="21"/>
                <w:lang w:val="en-US" w:eastAsia="zh-CN"/>
              </w:rPr>
              <w:t>目前无顾客不满意情况发生。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20年11月25日—26日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12</w:t>
            </w:r>
            <w:r>
              <w:rPr>
                <w:rFonts w:hint="eastAsia" w:cs="宋体"/>
              </w:rPr>
              <w:t>月</w:t>
            </w:r>
            <w:r>
              <w:rPr>
                <w:rFonts w:hint="eastAsia" w:cs="宋体"/>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b/>
                <w:bCs/>
              </w:rPr>
            </w:pPr>
            <w:r>
              <w:rPr>
                <w:rFonts w:hint="eastAsia"/>
                <w:b/>
                <w:bCs/>
              </w:rPr>
              <w:t xml:space="preserve"> EMS是否按规定对主要污染物（污水、废气、噪声、废渣等）及排放实施了例行的监视或测量，结果是否满足相关要求？</w:t>
            </w:r>
          </w:p>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val="0"/>
                <w:bCs/>
                <w:color w:val="000000" w:themeColor="text1"/>
                <w:sz w:val="20"/>
                <w:szCs w:val="20"/>
                <w:lang w:val="en-US" w:eastAsia="zh-CN"/>
              </w:rPr>
              <w:t>本公司销售活动不涉及职业病，定期为职工发放劳保用品及防护口罩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ascii="Times New Roman" w:hAnsi="Times New Roman" w:eastAsia="宋体" w:cs="Times New Roman"/>
                <w:color w:val="auto"/>
                <w:kern w:val="2"/>
                <w:sz w:val="21"/>
                <w:szCs w:val="21"/>
                <w:u w:val="single"/>
                <w:lang w:val="en-GB"/>
              </w:rPr>
              <w:t xml:space="preserve">  </w:t>
            </w:r>
            <w:r>
              <w:rPr>
                <w:rFonts w:hint="eastAsia" w:ascii="Times New Roman" w:hAnsi="Times New Roman" w:eastAsia="宋体" w:cs="Times New Roman"/>
                <w:color w:val="auto"/>
                <w:kern w:val="2"/>
                <w:sz w:val="21"/>
                <w:szCs w:val="21"/>
                <w:u w:val="single"/>
                <w:lang w:val="en-GB"/>
              </w:rPr>
              <w:fldChar w:fldCharType="begin"/>
            </w:r>
            <w:r>
              <w:rPr>
                <w:rFonts w:hint="eastAsia" w:ascii="Times New Roman" w:hAnsi="Times New Roman" w:eastAsia="宋体" w:cs="Times New Roman"/>
                <w:color w:val="auto"/>
                <w:kern w:val="2"/>
                <w:sz w:val="21"/>
                <w:szCs w:val="21"/>
                <w:u w:val="single"/>
                <w:lang w:val="en-GB"/>
              </w:rPr>
              <w:instrText xml:space="preserve"> HYPERLINK "http://39.105.161.228:8003/Management/javascript:;" </w:instrText>
            </w:r>
            <w:r>
              <w:rPr>
                <w:rFonts w:hint="eastAsia" w:ascii="Times New Roman" w:hAnsi="Times New Roman" w:eastAsia="宋体" w:cs="Times New Roman"/>
                <w:color w:val="auto"/>
                <w:kern w:val="2"/>
                <w:sz w:val="21"/>
                <w:szCs w:val="21"/>
                <w:u w:val="single"/>
                <w:lang w:val="en-GB"/>
              </w:rPr>
              <w:fldChar w:fldCharType="separate"/>
            </w:r>
            <w:r>
              <w:rPr>
                <w:rFonts w:hint="default" w:ascii="Times New Roman" w:hAnsi="Times New Roman" w:eastAsia="宋体" w:cs="Times New Roman"/>
                <w:color w:val="auto"/>
                <w:kern w:val="2"/>
                <w:sz w:val="21"/>
                <w:szCs w:val="21"/>
                <w:u w:val="single"/>
                <w:lang w:val="en-GB"/>
              </w:rPr>
              <w:t>张家口和丰建材销售有限公司</w:t>
            </w:r>
            <w:r>
              <w:rPr>
                <w:rFonts w:hint="default" w:ascii="Times New Roman" w:hAnsi="Times New Roman" w:eastAsia="宋体" w:cs="Times New Roman"/>
                <w:color w:val="auto"/>
                <w:kern w:val="2"/>
                <w:sz w:val="21"/>
                <w:szCs w:val="21"/>
                <w:u w:val="single"/>
                <w:lang w:val="en-GB"/>
              </w:rPr>
              <w:fldChar w:fldCharType="end"/>
            </w:r>
            <w:r>
              <w:rPr>
                <w:rFonts w:hint="eastAsia" w:ascii="Times New Roman" w:hAnsi="Times New Roman" w:eastAsia="宋体" w:cs="Times New Roman"/>
                <w:color w:val="auto"/>
                <w:kern w:val="2"/>
                <w:sz w:val="21"/>
                <w:szCs w:val="21"/>
                <w:u w:val="single"/>
                <w:lang w:val="en-US" w:eastAsia="zh-CN"/>
              </w:rPr>
              <w:t xml:space="preserve">   </w:t>
            </w:r>
            <w:r>
              <w:rPr>
                <w:rFonts w:hint="eastAsia" w:ascii="Times New Roman" w:hAnsi="Times New Roman" w:eastAsia="宋体" w:cs="Times New Roman"/>
                <w:color w:val="auto"/>
                <w:kern w:val="2"/>
                <w:sz w:val="21"/>
                <w:szCs w:val="21"/>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ascii="宋体" w:hAnsi="宋体"/>
                <w:b/>
                <w:color w:val="000000" w:themeColor="text1"/>
                <w:sz w:val="20"/>
                <w:szCs w:val="20"/>
              </w:rPr>
              <w:t>建材批发</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ascii="宋体" w:hAnsi="宋体"/>
                <w:b/>
                <w:color w:val="000000" w:themeColor="text1"/>
                <w:sz w:val="20"/>
                <w:szCs w:val="20"/>
              </w:rPr>
              <w:t>建材批发所涉及场所的相关环境管理活动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ascii="宋体" w:hAnsi="宋体"/>
                <w:b/>
                <w:color w:val="000000" w:themeColor="text1"/>
                <w:sz w:val="20"/>
                <w:szCs w:val="20"/>
              </w:rPr>
              <w:t>建材批发所涉及场所的相关职业健康安全管理活动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A3"/>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1539240</wp:posOffset>
            </wp:positionH>
            <wp:positionV relativeFrom="paragraph">
              <wp:posOffset>290830</wp:posOffset>
            </wp:positionV>
            <wp:extent cx="869315" cy="461645"/>
            <wp:effectExtent l="0" t="0" r="14605" b="10795"/>
            <wp:wrapNone/>
            <wp:docPr id="3" name="图片 3"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蒙生"/>
                    <pic:cNvPicPr>
                      <a:picLocks noChangeAspect="1"/>
                    </pic:cNvPicPr>
                  </pic:nvPicPr>
                  <pic:blipFill>
                    <a:blip r:embed="rId6"/>
                    <a:stretch>
                      <a:fillRect/>
                    </a:stretch>
                  </pic:blipFill>
                  <pic:spPr>
                    <a:xfrm>
                      <a:off x="0" y="0"/>
                      <a:ext cx="869315" cy="46164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0</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ind w:left="0" w:leftChars="-202" w:hanging="424" w:hangingChars="201"/>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EMS(</w:t>
      </w:r>
      <w:r>
        <w:rPr>
          <w:rFonts w:hint="eastAsia"/>
          <w:b/>
          <w:color w:val="000000" w:themeColor="text1"/>
          <w:szCs w:val="21"/>
          <w:lang w:val="en-US" w:eastAsia="zh-CN"/>
        </w:rPr>
        <w:t>0</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ind w:left="0" w:leftChars="-202" w:hanging="424" w:hangingChars="201"/>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0</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3360" behindDoc="0" locked="0" layoutInCell="1" allowOverlap="1">
            <wp:simplePos x="0" y="0"/>
            <wp:positionH relativeFrom="column">
              <wp:posOffset>632460</wp:posOffset>
            </wp:positionH>
            <wp:positionV relativeFrom="paragraph">
              <wp:posOffset>17780</wp:posOffset>
            </wp:positionV>
            <wp:extent cx="869315" cy="461645"/>
            <wp:effectExtent l="0" t="0" r="14605" b="10795"/>
            <wp:wrapNone/>
            <wp:docPr id="4" name="图片 4"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蒙生"/>
                    <pic:cNvPicPr>
                      <a:picLocks noChangeAspect="1"/>
                    </pic:cNvPicPr>
                  </pic:nvPicPr>
                  <pic:blipFill>
                    <a:blip r:embed="rId6"/>
                    <a:stretch>
                      <a:fillRect/>
                    </a:stretch>
                  </pic:blipFill>
                  <pic:spPr>
                    <a:xfrm>
                      <a:off x="0" y="0"/>
                      <a:ext cx="869315" cy="46164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28</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2BE60"/>
    <w:multiLevelType w:val="singleLevel"/>
    <w:tmpl w:val="1732BE60"/>
    <w:lvl w:ilvl="0" w:tentative="0">
      <w:start w:val="2"/>
      <w:numFmt w:val="decimal"/>
      <w:lvlText w:val="%1."/>
      <w:lvlJc w:val="left"/>
      <w:pPr>
        <w:tabs>
          <w:tab w:val="left" w:pos="312"/>
        </w:tabs>
      </w:pPr>
    </w:lvl>
  </w:abstractNum>
  <w:abstractNum w:abstractNumId="1">
    <w:nsid w:val="2BA32157"/>
    <w:multiLevelType w:val="singleLevel"/>
    <w:tmpl w:val="2BA32157"/>
    <w:lvl w:ilvl="0" w:tentative="0">
      <w:start w:val="8"/>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43FA0B"/>
    <w:multiLevelType w:val="singleLevel"/>
    <w:tmpl w:val="7B43FA0B"/>
    <w:lvl w:ilvl="0" w:tentative="0">
      <w:start w:val="5"/>
      <w:numFmt w:val="decimal"/>
      <w:suff w:val="space"/>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731852"/>
    <w:rsid w:val="4BCF3A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2"/>
    <w:uiPriority w:val="99"/>
    <w:rPr>
      <w:rFonts w:ascii="Times New Roman" w:hAnsi="Times New Roman" w:eastAsia="宋体" w:cs="Times New Roman"/>
      <w:sz w:val="18"/>
      <w:szCs w:val="18"/>
    </w:rPr>
  </w:style>
  <w:style w:type="character" w:customStyle="1" w:styleId="12">
    <w:name w:val="页脚 Char"/>
    <w:basedOn w:val="8"/>
    <w:link w:val="4"/>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2021-04-01T04:58:43Z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269285471_btnclosed</vt:lpwstr>
  </property>
  <property fmtid="{D5CDD505-2E9C-101B-9397-08002B2CF9AE}" pid="4" name="ICV">
    <vt:lpwstr>875DCF801B22468397240962F41B514B</vt:lpwstr>
  </property>
</Properties>
</file>