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成都万方达农牧科技有限公司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O：29.07.08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流程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</w:rPr>
              <w:t>顾客需求—签订合同—采购—验收—配送—交付—顾客验收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，也是关键过程。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采购、贮存、销售过程中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</w:t>
            </w:r>
            <w:r>
              <w:rPr>
                <w:rFonts w:hint="eastAsia"/>
                <w:sz w:val="20"/>
                <w:szCs w:val="22"/>
              </w:rPr>
              <w:t>排放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资源、能源的消耗</w:t>
            </w:r>
            <w:r>
              <w:rPr>
                <w:rFonts w:hint="eastAsia"/>
                <w:sz w:val="20"/>
                <w:szCs w:val="22"/>
              </w:rPr>
              <w:t>，采</w:t>
            </w:r>
            <w:r>
              <w:rPr>
                <w:rFonts w:hint="eastAsia"/>
                <w:sz w:val="20"/>
              </w:rPr>
              <w:t>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火灾、触电、意外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伤害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、食物中毒（霉变、变质等）采取制定管理方案控制，火灾、触电事故采取应急预案并演练方式进行控制。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中华人民共和国劳动合同法、中华人民共和国产品质量法、中华人民共和国计量法、中华人民共和国消费者权益保护法、欺诈消费者行为处罚办法食品安全国家标准 、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食品安全国家标准 食品生产通用卫生规范GB 14881-2013、运输和贮藏企业要求CCAA 0021-2014 、预包装食品标签通则GB 7718-2011、速冻饺子GB/T 23786-2009、速冻汤圆SB/T 10423-2017、分割鲜、冻猪瘦肉GB/T 9959.2-2008、鸭肉等级规格NY/T 1760-2009等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猪肉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水分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挥发性盐基氮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总汞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等；</w:t>
            </w:r>
          </w:p>
          <w:p>
            <w:pPr>
              <w:pStyle w:val="2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蔬菜指标：感官（性状、水分等）、农药残留量等。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43180</wp:posOffset>
            </wp:positionV>
            <wp:extent cx="684530" cy="428625"/>
            <wp:effectExtent l="0" t="0" r="1270" b="1333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100330</wp:posOffset>
            </wp:positionV>
            <wp:extent cx="684530" cy="428625"/>
            <wp:effectExtent l="0" t="0" r="1270" b="1333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3.31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2021.3.31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A21682"/>
    <w:rsid w:val="50842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2021-03-31T05:59:29Z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C4AF5F87729E4DFE9BD3F43D25D8D6E0</vt:lpwstr>
  </property>
</Properties>
</file>