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成都博世威科技有限公司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24001-2016/ISO14001:2015</w:t>
      </w:r>
      <w:bookmarkEnd w:id="4"/>
    </w:p>
    <w:p>
      <w:pPr>
        <w:pStyle w:val="11"/>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成都博世威科技有限公司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成都市新津县五津镇兴园8路518号2栋1层</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center"/>
              <w:rPr>
                <w:rFonts w:ascii="宋体" w:hAnsi="宋体"/>
                <w:b/>
                <w:color w:val="000000" w:themeColor="text1"/>
                <w:sz w:val="20"/>
                <w:szCs w:val="20"/>
              </w:rPr>
            </w:pPr>
            <w:bookmarkStart w:id="9" w:name="办公地址"/>
            <w:r>
              <w:rPr>
                <w:rFonts w:ascii="宋体" w:hAnsi="宋体"/>
                <w:b/>
                <w:color w:val="000000" w:themeColor="text1"/>
                <w:sz w:val="20"/>
                <w:szCs w:val="20"/>
              </w:rPr>
              <w:t>广汉市新丰镇玉溪路三段六号1栋楼2层</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袁华</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15308105335</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李仕勇</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jc w:val="center"/>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李仕勇</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罗杨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油田助剂的销售所涉及场所的相关环境管理活动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29.11.05</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2020-09-08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综合部</w:t>
            </w:r>
          </w:p>
        </w:tc>
        <w:tc>
          <w:tcPr>
            <w:tcW w:w="6804" w:type="dxa"/>
            <w:vAlign w:val="top"/>
          </w:tcPr>
          <w:p>
            <w:pPr>
              <w:jc w:val="left"/>
              <w:rPr>
                <w:rFonts w:ascii="宋体" w:hAnsi="宋体" w:eastAsia="宋体" w:cs="Times New Roman"/>
                <w:b/>
                <w:color w:val="000000" w:themeColor="text1"/>
                <w:spacing w:val="-20"/>
                <w:kern w:val="2"/>
                <w:sz w:val="20"/>
                <w:szCs w:val="20"/>
                <w:highlight w:val="none"/>
                <w:u w:val="single"/>
                <w:lang w:val="en-US" w:eastAsia="zh-CN" w:bidi="ar-SA"/>
              </w:rPr>
            </w:pPr>
            <w:r>
              <w:rPr>
                <w:rFonts w:hint="eastAsia" w:ascii="宋体" w:hAnsi="宋体"/>
                <w:b/>
                <w:color w:val="000000" w:themeColor="text1"/>
                <w:sz w:val="20"/>
                <w:szCs w:val="20"/>
                <w:highlight w:val="none"/>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业务部</w:t>
            </w:r>
          </w:p>
        </w:tc>
        <w:tc>
          <w:tcPr>
            <w:tcW w:w="6804" w:type="dxa"/>
            <w:vAlign w:val="top"/>
          </w:tcPr>
          <w:p>
            <w:pPr>
              <w:jc w:val="left"/>
              <w:rPr>
                <w:rFonts w:ascii="宋体" w:hAnsi="宋体" w:eastAsia="宋体" w:cs="Times New Roman"/>
                <w:b/>
                <w:color w:val="000000" w:themeColor="text1"/>
                <w:spacing w:val="-20"/>
                <w:kern w:val="2"/>
                <w:sz w:val="20"/>
                <w:szCs w:val="20"/>
                <w:highlight w:val="none"/>
                <w:u w:val="single"/>
                <w:lang w:val="en-US" w:eastAsia="zh-CN" w:bidi="ar-SA"/>
              </w:rPr>
            </w:pPr>
            <w:r>
              <w:rPr>
                <w:rFonts w:hint="eastAsia" w:ascii="宋体" w:hAnsi="宋体"/>
                <w:b/>
                <w:color w:val="000000" w:themeColor="text1"/>
                <w:sz w:val="20"/>
                <w:szCs w:val="20"/>
                <w:highlight w:val="none"/>
              </w:rPr>
              <w:t>纠正和预防措施控制；策划管理；过程监控管理；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highlight w:val="none"/>
              </w:rPr>
            </w:pPr>
            <w:r>
              <w:rPr>
                <w:sz w:val="20"/>
                <w:highlight w:val="none"/>
              </w:rPr>
              <w:t>油田助剂的销售所涉及场所的相关环境管理活动</w:t>
            </w:r>
          </w:p>
        </w:tc>
        <w:tc>
          <w:tcPr>
            <w:tcW w:w="2519" w:type="dxa"/>
          </w:tcPr>
          <w:p>
            <w:pPr>
              <w:rPr>
                <w:b/>
                <w:color w:val="000000" w:themeColor="text1"/>
                <w:sz w:val="20"/>
                <w:szCs w:val="20"/>
                <w:highlight w:val="none"/>
              </w:rPr>
            </w:pPr>
          </w:p>
        </w:tc>
        <w:tc>
          <w:tcPr>
            <w:tcW w:w="1843" w:type="dxa"/>
          </w:tcPr>
          <w:p>
            <w:pPr>
              <w:rPr>
                <w:rFonts w:eastAsia="宋体"/>
                <w:sz w:val="20"/>
                <w:highlight w:val="none"/>
              </w:rPr>
            </w:pPr>
          </w:p>
        </w:tc>
        <w:tc>
          <w:tcPr>
            <w:tcW w:w="3543" w:type="dxa"/>
          </w:tcPr>
          <w:p>
            <w:pPr>
              <w:rPr>
                <w:rFonts w:hint="eastAsia" w:eastAsia="宋体"/>
                <w:sz w:val="20"/>
                <w:highlight w:val="none"/>
                <w:lang w:val="en-US" w:eastAsia="zh-CN"/>
              </w:rPr>
            </w:pPr>
            <w:r>
              <w:rPr>
                <w:rFonts w:hint="eastAsia" w:eastAsia="宋体"/>
                <w:sz w:val="20"/>
                <w:highlight w:val="none"/>
                <w:lang w:val="en-US" w:eastAsia="zh-CN"/>
              </w:rPr>
              <w:t>中华人民共和国环境保护法、中华人民共和国职业病防治法、中华人民共和国劳动法、中华人民共和国消防法、中华人民共和国节约能源法、四川省生活垃圾分类管理办法。</w:t>
            </w:r>
          </w:p>
          <w:p>
            <w:pPr>
              <w:rPr>
                <w:rFonts w:eastAsia="宋体"/>
                <w:sz w:val="20"/>
                <w:highlight w:val="none"/>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2020年09月08日至2021年03月30日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(一)策划的充分与合理性</w:t>
            </w:r>
          </w:p>
        </w:tc>
        <w:tc>
          <w:tcPr>
            <w:tcW w:w="9198" w:type="dxa"/>
          </w:tcPr>
          <w:p>
            <w:pPr>
              <w:spacing w:line="240" w:lineRule="exact"/>
              <w:rPr>
                <w:b/>
                <w:color w:val="000000" w:themeColor="text1"/>
                <w:sz w:val="20"/>
                <w:szCs w:val="20"/>
                <w:highlight w:val="none"/>
              </w:rPr>
            </w:pPr>
            <w:r>
              <w:rPr>
                <w:b/>
                <w:color w:val="000000" w:themeColor="text1"/>
                <w:sz w:val="20"/>
                <w:szCs w:val="20"/>
                <w:highlight w:val="none"/>
              </w:rPr>
              <w:t>1、</w:t>
            </w:r>
            <w:r>
              <w:rPr>
                <w:rFonts w:hint="eastAsia"/>
                <w:b/>
                <w:color w:val="000000" w:themeColor="text1"/>
                <w:sz w:val="20"/>
                <w:szCs w:val="20"/>
                <w:highlight w:val="none"/>
              </w:rPr>
              <w:t>组织及其环境的识别情况</w:t>
            </w:r>
          </w:p>
          <w:p>
            <w:pPr>
              <w:spacing w:line="240" w:lineRule="exact"/>
              <w:ind w:firstLine="420" w:firstLineChars="200"/>
              <w:rPr>
                <w:b/>
                <w:color w:val="000000" w:themeColor="text1"/>
                <w:sz w:val="20"/>
                <w:szCs w:val="20"/>
                <w:highlight w:val="none"/>
              </w:rPr>
            </w:pPr>
            <w:r>
              <w:rPr>
                <w:rFonts w:hint="eastAsia" w:ascii="宋体" w:hAnsi="宋体"/>
                <w:color w:val="000000" w:themeColor="text1"/>
                <w:highlight w:val="none"/>
              </w:rPr>
              <w:t>组织对内外部因素、相关方需求和期望进行了充分的识别，策划和实施有效。组织确定了体系的边界，基本适用。管理体系全条款适用</w:t>
            </w:r>
            <w:r>
              <w:rPr>
                <w:rFonts w:hint="eastAsia" w:ascii="华文楷体" w:hAnsi="华文楷体" w:eastAsia="华文楷体"/>
                <w:bCs/>
                <w:i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p>
        </w:tc>
        <w:tc>
          <w:tcPr>
            <w:tcW w:w="9198" w:type="dxa"/>
          </w:tcPr>
          <w:p>
            <w:pPr>
              <w:spacing w:line="240" w:lineRule="exact"/>
              <w:rPr>
                <w:b/>
                <w:color w:val="000000" w:themeColor="text1"/>
                <w:sz w:val="20"/>
                <w:szCs w:val="20"/>
                <w:highlight w:val="none"/>
              </w:rPr>
            </w:pPr>
            <w:r>
              <w:rPr>
                <w:b/>
                <w:color w:val="000000" w:themeColor="text1"/>
                <w:sz w:val="20"/>
                <w:szCs w:val="20"/>
                <w:highlight w:val="none"/>
              </w:rPr>
              <w:t>2、</w:t>
            </w:r>
            <w:r>
              <w:rPr>
                <w:rFonts w:hint="eastAsia"/>
                <w:b/>
                <w:color w:val="000000" w:themeColor="text1"/>
                <w:sz w:val="20"/>
                <w:szCs w:val="20"/>
                <w:highlight w:val="none"/>
              </w:rPr>
              <w:t>相关方需求和期望识别情况</w:t>
            </w:r>
          </w:p>
          <w:p>
            <w:pPr>
              <w:spacing w:line="240" w:lineRule="exact"/>
              <w:ind w:firstLine="420" w:firstLineChars="200"/>
              <w:rPr>
                <w:b/>
                <w:color w:val="000000" w:themeColor="text1"/>
                <w:sz w:val="20"/>
                <w:szCs w:val="20"/>
                <w:highlight w:val="none"/>
              </w:rPr>
            </w:pPr>
            <w:r>
              <w:rPr>
                <w:rFonts w:hint="eastAsia" w:ascii="宋体" w:hAnsi="宋体" w:cs="宋体"/>
                <w:color w:val="000000"/>
                <w:szCs w:val="21"/>
                <w:highlight w:val="none"/>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p>
        </w:tc>
        <w:tc>
          <w:tcPr>
            <w:tcW w:w="9198" w:type="dxa"/>
          </w:tcPr>
          <w:p>
            <w:pPr>
              <w:spacing w:line="280" w:lineRule="exact"/>
              <w:rPr>
                <w:rFonts w:ascii="宋体" w:hAnsi="宋体"/>
                <w:b/>
                <w:color w:val="000000" w:themeColor="text1"/>
                <w:sz w:val="20"/>
                <w:szCs w:val="20"/>
                <w:highlight w:val="none"/>
              </w:rPr>
            </w:pPr>
            <w:r>
              <w:rPr>
                <w:b/>
                <w:color w:val="000000" w:themeColor="text1"/>
                <w:sz w:val="20"/>
                <w:szCs w:val="20"/>
                <w:highlight w:val="none"/>
              </w:rPr>
              <w:t>3.</w:t>
            </w:r>
            <w:r>
              <w:rPr>
                <w:rFonts w:hint="eastAsia"/>
                <w:b/>
                <w:color w:val="000000" w:themeColor="text1"/>
                <w:sz w:val="20"/>
                <w:szCs w:val="20"/>
                <w:highlight w:val="none"/>
              </w:rPr>
              <w:t>□</w:t>
            </w:r>
            <w:r>
              <w:rPr>
                <w:rFonts w:hint="eastAsia" w:ascii="宋体" w:hAnsi="宋体"/>
                <w:b/>
                <w:color w:val="000000" w:themeColor="text1"/>
                <w:sz w:val="20"/>
                <w:szCs w:val="20"/>
                <w:highlight w:val="none"/>
              </w:rPr>
              <w:t>质量/■环境/</w:t>
            </w:r>
            <w:r>
              <w:rPr>
                <w:rFonts w:hint="eastAsia"/>
                <w:b/>
                <w:color w:val="000000" w:themeColor="text1"/>
                <w:sz w:val="20"/>
                <w:szCs w:val="20"/>
                <w:highlight w:val="none"/>
              </w:rPr>
              <w:t>□</w:t>
            </w:r>
            <w:r>
              <w:rPr>
                <w:rFonts w:hint="eastAsia" w:ascii="宋体" w:hAnsi="宋体"/>
                <w:b/>
                <w:color w:val="000000" w:themeColor="text1"/>
                <w:sz w:val="20"/>
                <w:szCs w:val="20"/>
                <w:highlight w:val="none"/>
              </w:rPr>
              <w:t>职业健康安全方针（组织</w:t>
            </w:r>
            <w:r>
              <w:rPr>
                <w:rFonts w:hint="eastAsia"/>
                <w:b/>
                <w:color w:val="000000" w:themeColor="text1"/>
                <w:sz w:val="20"/>
                <w:szCs w:val="20"/>
                <w:highlight w:val="none"/>
              </w:rPr>
              <w:t>方针</w:t>
            </w:r>
            <w:r>
              <w:rPr>
                <w:rFonts w:hint="eastAsia" w:ascii="宋体" w:hAnsi="宋体"/>
                <w:b/>
                <w:color w:val="000000" w:themeColor="text1"/>
                <w:sz w:val="20"/>
                <w:szCs w:val="20"/>
                <w:highlight w:val="none"/>
              </w:rPr>
              <w:t>的适宜性/持续适宜性、方针的传达及职工的理解等）</w:t>
            </w:r>
          </w:p>
          <w:p>
            <w:pPr>
              <w:ind w:firstLine="420" w:firstLineChars="200"/>
              <w:jc w:val="left"/>
              <w:rPr>
                <w:rFonts w:hint="eastAsia" w:ascii="宋体" w:hAnsi="宋体"/>
                <w:color w:val="000000" w:themeColor="text1"/>
                <w:highlight w:val="none"/>
              </w:rPr>
            </w:pPr>
            <w:r>
              <w:rPr>
                <w:rFonts w:hint="eastAsia" w:ascii="宋体" w:hAnsi="宋体"/>
                <w:color w:val="000000" w:themeColor="text1"/>
                <w:highlight w:val="none"/>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ind w:firstLine="420" w:firstLineChars="200"/>
              <w:jc w:val="left"/>
              <w:rPr>
                <w:rFonts w:hint="eastAsia" w:ascii="宋体" w:hAnsi="宋体"/>
                <w:color w:val="000000" w:themeColor="text1"/>
                <w:highlight w:val="none"/>
              </w:rPr>
            </w:pPr>
            <w:r>
              <w:rPr>
                <w:rFonts w:hint="eastAsia" w:ascii="宋体" w:hAnsi="宋体"/>
                <w:color w:val="000000" w:themeColor="text1"/>
                <w:highlight w:val="none"/>
              </w:rPr>
              <w:t>管理方针：</w:t>
            </w:r>
          </w:p>
          <w:p>
            <w:pPr>
              <w:ind w:firstLine="420" w:firstLineChars="200"/>
              <w:jc w:val="left"/>
              <w:rPr>
                <w:rFonts w:hint="eastAsia" w:ascii="宋体" w:hAnsi="宋体" w:cs="Times New Roman"/>
                <w:color w:val="000000" w:themeColor="text1"/>
                <w:highlight w:val="none"/>
              </w:rPr>
            </w:pPr>
            <w:r>
              <w:rPr>
                <w:rFonts w:hint="eastAsia" w:ascii="宋体" w:hAnsi="宋体" w:cs="Times New Roman"/>
                <w:color w:val="000000" w:themeColor="text1"/>
                <w:highlight w:val="none"/>
              </w:rPr>
              <w:t>质量为本、顾客满意</w:t>
            </w:r>
          </w:p>
          <w:p>
            <w:pPr>
              <w:ind w:firstLine="420" w:firstLineChars="200"/>
              <w:jc w:val="left"/>
              <w:rPr>
                <w:rFonts w:hint="eastAsia" w:ascii="宋体" w:hAnsi="宋体" w:cs="Times New Roman"/>
                <w:color w:val="000000" w:themeColor="text1"/>
                <w:highlight w:val="none"/>
              </w:rPr>
            </w:pPr>
            <w:r>
              <w:rPr>
                <w:rFonts w:hint="eastAsia" w:ascii="宋体" w:hAnsi="宋体" w:cs="Times New Roman"/>
                <w:color w:val="000000" w:themeColor="text1"/>
                <w:highlight w:val="none"/>
              </w:rPr>
              <w:t>安全生产、保护环境</w:t>
            </w:r>
          </w:p>
          <w:p>
            <w:pPr>
              <w:ind w:firstLine="420" w:firstLineChars="200"/>
              <w:jc w:val="left"/>
              <w:rPr>
                <w:b/>
                <w:color w:val="000000" w:themeColor="text1"/>
                <w:highlight w:val="none"/>
              </w:rPr>
            </w:pPr>
            <w:r>
              <w:rPr>
                <w:rFonts w:hint="eastAsia" w:ascii="宋体" w:hAnsi="宋体" w:cs="Times New Roman"/>
                <w:color w:val="000000" w:themeColor="text1"/>
                <w:highlight w:val="none"/>
              </w:rPr>
              <w:t>全员参与、持续改进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p>
        </w:tc>
        <w:tc>
          <w:tcPr>
            <w:tcW w:w="9198" w:type="dxa"/>
          </w:tcPr>
          <w:p>
            <w:pPr>
              <w:spacing w:line="240" w:lineRule="exact"/>
              <w:rPr>
                <w:b/>
                <w:color w:val="000000" w:themeColor="text1"/>
                <w:highlight w:val="none"/>
              </w:rPr>
            </w:pPr>
            <w:r>
              <w:rPr>
                <w:b/>
                <w:color w:val="000000" w:themeColor="text1"/>
                <w:highlight w:val="none"/>
              </w:rPr>
              <w:t>4、</w:t>
            </w:r>
            <w:r>
              <w:rPr>
                <w:rFonts w:hint="eastAsia"/>
                <w:b/>
                <w:color w:val="000000" w:themeColor="text1"/>
                <w:highlight w:val="none"/>
              </w:rPr>
              <w:t>风险识别与控制策划（QMS）</w:t>
            </w:r>
          </w:p>
          <w:p>
            <w:pPr>
              <w:spacing w:line="240" w:lineRule="exact"/>
              <w:ind w:firstLine="210" w:firstLineChars="100"/>
              <w:rPr>
                <w:rFonts w:ascii="宋体" w:hAnsi="宋体"/>
                <w:color w:val="000000" w:themeColor="text1"/>
                <w:highlight w:val="none"/>
              </w:rPr>
            </w:pPr>
            <w:r>
              <w:rPr>
                <w:rFonts w:hint="eastAsia" w:ascii="宋体" w:hAnsi="宋体"/>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z w:val="20"/>
                <w:szCs w:val="20"/>
                <w:highlight w:val="none"/>
              </w:rPr>
            </w:pPr>
            <w:r>
              <w:rPr>
                <w:rFonts w:hint="eastAsia"/>
                <w:b/>
                <w:color w:val="000000" w:themeColor="text1"/>
                <w:sz w:val="20"/>
                <w:szCs w:val="20"/>
                <w:highlight w:val="none"/>
              </w:rPr>
              <w:t>5.</w:t>
            </w:r>
            <w:r>
              <w:rPr>
                <w:b/>
                <w:color w:val="000000" w:themeColor="text1"/>
                <w:sz w:val="20"/>
                <w:szCs w:val="20"/>
                <w:highlight w:val="none"/>
              </w:rPr>
              <w:t>QMS</w:t>
            </w:r>
            <w:r>
              <w:rPr>
                <w:rFonts w:hint="eastAsia" w:ascii="宋体" w:hAnsi="宋体"/>
                <w:b/>
                <w:color w:val="000000" w:themeColor="text1"/>
                <w:sz w:val="20"/>
                <w:szCs w:val="20"/>
                <w:highlight w:val="none"/>
              </w:rPr>
              <w:t>过程</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b/>
                <w:color w:val="000000" w:themeColor="text1"/>
                <w:sz w:val="20"/>
                <w:szCs w:val="20"/>
                <w:highlight w:val="none"/>
              </w:rPr>
              <w:t>质量管理体系过程有：</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b/>
                <w:color w:val="000000" w:themeColor="text1"/>
                <w:sz w:val="20"/>
                <w:szCs w:val="20"/>
                <w:highlight w:val="none"/>
              </w:rPr>
              <w:t>其中关键过程有：</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b/>
                <w:color w:val="000000" w:themeColor="text1"/>
                <w:sz w:val="20"/>
                <w:szCs w:val="20"/>
                <w:highlight w:val="none"/>
              </w:rPr>
              <w:t xml:space="preserve">需要确认过程：  </w:t>
            </w:r>
          </w:p>
          <w:p>
            <w:pPr>
              <w:tabs>
                <w:tab w:val="left" w:pos="540"/>
              </w:tabs>
              <w:spacing w:line="300" w:lineRule="exact"/>
              <w:ind w:left="201" w:hanging="201" w:hangingChars="100"/>
              <w:rPr>
                <w:rFonts w:ascii="宋体" w:hAnsi="宋体"/>
                <w:b/>
                <w:color w:val="000000" w:themeColor="text1"/>
                <w:szCs w:val="21"/>
                <w:highlight w:val="none"/>
              </w:rPr>
            </w:pPr>
            <w:r>
              <w:rPr>
                <w:b/>
                <w:color w:val="000000" w:themeColor="text1"/>
                <w:sz w:val="20"/>
                <w:szCs w:val="20"/>
                <w:highlight w:val="none"/>
              </w:rPr>
              <w:pict>
                <v:shape id="_x0000_s2050" o:spid="_x0000_s2050"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highlight w:val="none"/>
              </w:rPr>
              <w:pict>
                <v:shape id="_x0000_s2051" o:spid="_x0000_s2051"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highlight w:val="none"/>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pacing w:val="-12"/>
                <w:sz w:val="20"/>
                <w:szCs w:val="20"/>
                <w:highlight w:val="none"/>
              </w:rPr>
            </w:pPr>
            <w:r>
              <w:rPr>
                <w:rFonts w:hint="eastAsia"/>
                <w:b/>
                <w:color w:val="000000" w:themeColor="text1"/>
                <w:sz w:val="20"/>
                <w:szCs w:val="20"/>
                <w:highlight w:val="none"/>
              </w:rPr>
              <w:t xml:space="preserve">6. </w:t>
            </w:r>
            <w:r>
              <w:rPr>
                <w:b/>
                <w:color w:val="000000" w:themeColor="text1"/>
                <w:spacing w:val="-12"/>
                <w:sz w:val="20"/>
                <w:szCs w:val="20"/>
                <w:highlight w:val="none"/>
              </w:rPr>
              <w:t>EMS</w:t>
            </w:r>
            <w:r>
              <w:rPr>
                <w:rFonts w:hint="eastAsia" w:ascii="宋体" w:hAnsi="宋体"/>
                <w:b/>
                <w:color w:val="000000" w:themeColor="text1"/>
                <w:spacing w:val="-12"/>
                <w:sz w:val="20"/>
                <w:szCs w:val="20"/>
                <w:highlight w:val="none"/>
              </w:rPr>
              <w:t>环境因素/</w:t>
            </w:r>
          </w:p>
          <w:p>
            <w:pPr>
              <w:spacing w:line="300" w:lineRule="exact"/>
              <w:rPr>
                <w:rFonts w:ascii="宋体" w:hAnsi="宋体"/>
                <w:b/>
                <w:color w:val="000000" w:themeColor="text1"/>
                <w:spacing w:val="-8"/>
                <w:sz w:val="20"/>
                <w:szCs w:val="20"/>
                <w:highlight w:val="none"/>
              </w:rPr>
            </w:pPr>
            <w:r>
              <w:rPr>
                <w:rFonts w:hint="eastAsia" w:ascii="宋体" w:hAnsi="宋体"/>
                <w:b/>
                <w:color w:val="000000" w:themeColor="text1"/>
                <w:sz w:val="20"/>
                <w:szCs w:val="20"/>
                <w:highlight w:val="none"/>
              </w:rPr>
              <w:t>（</w:t>
            </w:r>
            <w:r>
              <w:rPr>
                <w:rFonts w:hint="eastAsia" w:ascii="宋体" w:hAnsi="宋体"/>
                <w:b/>
                <w:color w:val="000000" w:themeColor="text1"/>
                <w:spacing w:val="-8"/>
                <w:sz w:val="20"/>
                <w:szCs w:val="20"/>
                <w:highlight w:val="none"/>
              </w:rPr>
              <w:t>环境因素</w:t>
            </w:r>
            <w:r>
              <w:rPr>
                <w:rFonts w:hint="eastAsia" w:ascii="宋体" w:hAnsi="宋体"/>
                <w:b/>
                <w:color w:val="000000" w:themeColor="text1"/>
                <w:sz w:val="20"/>
                <w:szCs w:val="20"/>
                <w:highlight w:val="none"/>
              </w:rPr>
              <w:t>辨识是否充分、重要环境因素评价合理性，</w:t>
            </w:r>
            <w:r>
              <w:rPr>
                <w:rFonts w:hint="eastAsia" w:ascii="宋体" w:hAnsi="宋体"/>
                <w:b/>
                <w:color w:val="000000" w:themeColor="text1"/>
                <w:spacing w:val="-8"/>
                <w:sz w:val="20"/>
                <w:szCs w:val="20"/>
                <w:highlight w:val="none"/>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highlight w:val="none"/>
              </w:rPr>
            </w:pPr>
            <w:r>
              <w:rPr>
                <w:rFonts w:hint="eastAsia" w:asciiTheme="minorEastAsia" w:hAnsiTheme="minorEastAsia" w:eastAsiaTheme="minorEastAsia"/>
                <w:bCs/>
                <w:iCs/>
                <w:highlight w:val="none"/>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Theme="minorEastAsia" w:hAnsiTheme="minorEastAsia" w:eastAsiaTheme="minorEastAsia"/>
                <w:bCs/>
                <w:iCs/>
                <w:highlight w:val="none"/>
                <w:lang w:eastAsia="zh-CN"/>
              </w:rPr>
              <w:t>固废排放</w:t>
            </w:r>
            <w:r>
              <w:rPr>
                <w:rFonts w:hint="eastAsia" w:asciiTheme="minorEastAsia" w:hAnsiTheme="minorEastAsia" w:eastAsiaTheme="minorEastAsia"/>
                <w:bCs/>
                <w:iCs/>
                <w:highlight w:val="none"/>
              </w:rPr>
              <w:t>、潜在火灾的应急预案等。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pacing w:val="-12"/>
                <w:sz w:val="20"/>
                <w:szCs w:val="20"/>
                <w:highlight w:val="none"/>
              </w:rPr>
            </w:pPr>
            <w:r>
              <w:rPr>
                <w:rFonts w:hint="eastAsia"/>
                <w:b/>
                <w:color w:val="000000" w:themeColor="text1"/>
                <w:spacing w:val="-10"/>
                <w:sz w:val="20"/>
                <w:szCs w:val="20"/>
                <w:highlight w:val="none"/>
              </w:rPr>
              <w:t xml:space="preserve">7. </w:t>
            </w:r>
            <w:r>
              <w:rPr>
                <w:b/>
                <w:color w:val="000000" w:themeColor="text1"/>
                <w:spacing w:val="-12"/>
                <w:sz w:val="20"/>
                <w:szCs w:val="20"/>
                <w:highlight w:val="none"/>
              </w:rPr>
              <w:t>OHSMS</w:t>
            </w:r>
            <w:r>
              <w:rPr>
                <w:rFonts w:hint="eastAsia" w:ascii="宋体" w:hAnsi="宋体"/>
                <w:b/>
                <w:color w:val="000000" w:themeColor="text1"/>
                <w:spacing w:val="-12"/>
                <w:sz w:val="20"/>
                <w:szCs w:val="20"/>
                <w:highlight w:val="none"/>
              </w:rPr>
              <w:t>职业健康安全危险源</w:t>
            </w:r>
          </w:p>
          <w:p>
            <w:pPr>
              <w:spacing w:line="300" w:lineRule="exact"/>
              <w:rPr>
                <w:rFonts w:ascii="宋体" w:hAnsi="宋体"/>
                <w:b/>
                <w:color w:val="000000" w:themeColor="text1"/>
                <w:spacing w:val="-8"/>
                <w:sz w:val="20"/>
                <w:szCs w:val="20"/>
                <w:highlight w:val="none"/>
              </w:rPr>
            </w:pPr>
            <w:r>
              <w:rPr>
                <w:rFonts w:hint="eastAsia" w:ascii="宋体" w:hAnsi="宋体"/>
                <w:b/>
                <w:color w:val="000000" w:themeColor="text1"/>
                <w:sz w:val="20"/>
                <w:szCs w:val="20"/>
                <w:highlight w:val="none"/>
              </w:rPr>
              <w:t>（</w:t>
            </w:r>
            <w:r>
              <w:rPr>
                <w:rFonts w:hint="eastAsia" w:ascii="宋体" w:hAnsi="宋体"/>
                <w:b/>
                <w:color w:val="000000" w:themeColor="text1"/>
                <w:spacing w:val="-8"/>
                <w:sz w:val="20"/>
                <w:szCs w:val="20"/>
                <w:highlight w:val="none"/>
              </w:rPr>
              <w:t>职业健康安全危险源</w:t>
            </w:r>
            <w:r>
              <w:rPr>
                <w:rFonts w:hint="eastAsia" w:ascii="宋体" w:hAnsi="宋体"/>
                <w:b/>
                <w:color w:val="000000" w:themeColor="text1"/>
                <w:sz w:val="20"/>
                <w:szCs w:val="20"/>
                <w:highlight w:val="none"/>
              </w:rPr>
              <w:t>辨识是否充分、风险评价合理性，</w:t>
            </w:r>
            <w:r>
              <w:rPr>
                <w:rFonts w:hint="eastAsia" w:ascii="宋体" w:hAnsi="宋体"/>
                <w:b/>
                <w:color w:val="000000" w:themeColor="text1"/>
                <w:spacing w:val="-8"/>
                <w:sz w:val="20"/>
                <w:szCs w:val="20"/>
                <w:highlight w:val="none"/>
              </w:rPr>
              <w:t>以及风险评价动态变更的及时性等）</w:t>
            </w:r>
          </w:p>
          <w:p>
            <w:pPr>
              <w:spacing w:line="300" w:lineRule="exact"/>
              <w:ind w:firstLine="370" w:firstLineChars="200"/>
              <w:rPr>
                <w:rFonts w:ascii="宋体" w:hAnsi="宋体"/>
                <w:b/>
                <w:color w:val="000000" w:themeColor="text1"/>
                <w:spacing w:val="-8"/>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0"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zCs w:val="21"/>
                <w:highlight w:val="none"/>
              </w:rPr>
            </w:pPr>
            <w:r>
              <w:rPr>
                <w:rFonts w:hint="eastAsia"/>
                <w:b/>
                <w:color w:val="000000" w:themeColor="text1"/>
                <w:szCs w:val="21"/>
                <w:highlight w:val="none"/>
              </w:rPr>
              <w:t xml:space="preserve">8. </w:t>
            </w:r>
            <w:r>
              <w:rPr>
                <w:rFonts w:hint="eastAsia" w:ascii="宋体" w:hAnsi="宋体"/>
                <w:b/>
                <w:color w:val="000000" w:themeColor="text1"/>
                <w:spacing w:val="-4"/>
                <w:szCs w:val="21"/>
                <w:highlight w:val="none"/>
              </w:rPr>
              <w:t>法律法规及其他要求</w:t>
            </w:r>
          </w:p>
          <w:p>
            <w:pPr>
              <w:pStyle w:val="11"/>
              <w:numPr>
                <w:ilvl w:val="0"/>
                <w:numId w:val="2"/>
              </w:numPr>
              <w:tabs>
                <w:tab w:val="left" w:pos="540"/>
              </w:tabs>
              <w:spacing w:line="300" w:lineRule="exact"/>
              <w:ind w:firstLineChars="0"/>
              <w:rPr>
                <w:rFonts w:ascii="宋体" w:hAnsi="宋体"/>
                <w:b/>
                <w:color w:val="000000" w:themeColor="text1"/>
                <w:szCs w:val="21"/>
                <w:highlight w:val="none"/>
                <w:u w:val="single"/>
              </w:rPr>
            </w:pPr>
            <w:r>
              <w:rPr>
                <w:rFonts w:hint="eastAsia" w:ascii="宋体" w:hAnsi="宋体"/>
                <w:b/>
                <w:color w:val="000000" w:themeColor="text1"/>
                <w:szCs w:val="21"/>
                <w:highlight w:val="none"/>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highlight w:val="none"/>
              </w:rPr>
            </w:pPr>
            <w:r>
              <w:rPr>
                <w:rFonts w:hint="eastAsia" w:ascii="宋体" w:hAnsi="宋体"/>
                <w:b/>
                <w:color w:val="000000" w:themeColor="text1"/>
                <w:szCs w:val="21"/>
                <w:highlight w:val="none"/>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highlight w:val="none"/>
              </w:rPr>
            </w:pPr>
            <w:r>
              <w:rPr>
                <w:rFonts w:hint="eastAsia" w:ascii="宋体" w:hAnsi="宋体"/>
                <w:b/>
                <w:color w:val="000000" w:themeColor="text1"/>
                <w:szCs w:val="21"/>
                <w:highlight w:val="none"/>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highlight w:val="none"/>
              </w:rPr>
            </w:pPr>
            <w:r>
              <w:rPr>
                <w:rFonts w:hint="eastAsia" w:ascii="宋体" w:hAnsi="宋体"/>
                <w:b/>
                <w:color w:val="000000" w:themeColor="text1"/>
                <w:szCs w:val="21"/>
                <w:highlight w:val="none"/>
              </w:rPr>
              <w:t>法律法规要求及时更新了</w:t>
            </w:r>
          </w:p>
          <w:p>
            <w:pPr>
              <w:tabs>
                <w:tab w:val="left" w:pos="0"/>
              </w:tabs>
              <w:spacing w:line="240" w:lineRule="exact"/>
              <w:rPr>
                <w:b/>
                <w:color w:val="000000" w:themeColor="text1"/>
                <w:sz w:val="14"/>
                <w:szCs w:val="1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zCs w:val="21"/>
                <w:highlight w:val="none"/>
              </w:rPr>
            </w:pPr>
            <w:r>
              <w:rPr>
                <w:rFonts w:hint="eastAsia"/>
                <w:b/>
                <w:color w:val="000000" w:themeColor="text1"/>
                <w:szCs w:val="21"/>
                <w:highlight w:val="none"/>
              </w:rPr>
              <w:t xml:space="preserve">9. </w:t>
            </w:r>
            <w:r>
              <w:rPr>
                <w:rFonts w:hint="eastAsia" w:ascii="宋体" w:hAnsi="宋体"/>
                <w:b/>
                <w:color w:val="000000" w:themeColor="text1"/>
                <w:szCs w:val="21"/>
                <w:highlight w:val="none"/>
              </w:rPr>
              <w:t>目标、方案</w:t>
            </w:r>
          </w:p>
          <w:p>
            <w:pPr>
              <w:spacing w:line="300" w:lineRule="exact"/>
              <w:rPr>
                <w:rFonts w:ascii="宋体" w:hAnsi="宋体"/>
                <w:b/>
                <w:color w:val="000000" w:themeColor="text1"/>
                <w:sz w:val="20"/>
                <w:szCs w:val="20"/>
                <w:highlight w:val="none"/>
              </w:rPr>
            </w:pPr>
            <w:r>
              <w:rPr>
                <w:rFonts w:hint="eastAsia"/>
                <w:b/>
                <w:color w:val="000000" w:themeColor="text1"/>
                <w:sz w:val="20"/>
                <w:szCs w:val="20"/>
                <w:highlight w:val="none"/>
              </w:rPr>
              <w:t>（</w:t>
            </w:r>
            <w:r>
              <w:rPr>
                <w:rFonts w:hint="eastAsia" w:ascii="宋体" w:hAnsi="宋体"/>
                <w:b/>
                <w:color w:val="000000" w:themeColor="text1"/>
                <w:spacing w:val="-4"/>
                <w:sz w:val="20"/>
                <w:szCs w:val="20"/>
                <w:highlight w:val="none"/>
              </w:rPr>
              <w:t>在相关层次上建立</w:t>
            </w:r>
            <w:r>
              <w:rPr>
                <w:rFonts w:hint="eastAsia" w:ascii="宋体" w:hAnsi="宋体"/>
                <w:b/>
                <w:color w:val="000000" w:themeColor="text1"/>
                <w:sz w:val="20"/>
                <w:szCs w:val="20"/>
                <w:highlight w:val="none"/>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Cs w:val="21"/>
                <w:highlight w:val="none"/>
                <w:lang w:eastAsia="zh-CN"/>
              </w:rPr>
            </w:pPr>
            <w:r>
              <w:rPr>
                <w:rFonts w:hint="eastAsia" w:ascii="宋体" w:hAnsi="宋体" w:cs="宋体"/>
                <w:color w:val="000000"/>
                <w:kern w:val="0"/>
                <w:szCs w:val="21"/>
                <w:highlight w:val="none"/>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w:t>
            </w:r>
            <w:r>
              <w:rPr>
                <w:rFonts w:hint="eastAsia" w:ascii="宋体" w:hAnsi="宋体" w:cs="宋体"/>
                <w:color w:val="000000"/>
                <w:kern w:val="0"/>
                <w:szCs w:val="21"/>
                <w:highlight w:val="none"/>
                <w:lang w:eastAsia="zh-CN"/>
              </w:rPr>
              <w:t>。</w:t>
            </w:r>
          </w:p>
          <w:p>
            <w:pPr>
              <w:spacing w:line="300" w:lineRule="exact"/>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环境目标：</w:t>
            </w:r>
          </w:p>
          <w:p>
            <w:pPr>
              <w:spacing w:line="300" w:lineRule="exact"/>
              <w:ind w:firstLine="420" w:firstLineChars="200"/>
              <w:rPr>
                <w:rFonts w:hint="eastAsia" w:ascii="宋体" w:hAnsi="宋体" w:cs="宋体"/>
                <w:color w:val="000000"/>
                <w:kern w:val="0"/>
                <w:szCs w:val="21"/>
                <w:highlight w:val="none"/>
                <w:lang w:eastAsia="zh-CN"/>
              </w:rPr>
            </w:pPr>
            <w:r>
              <w:rPr>
                <w:rFonts w:hint="eastAsia" w:ascii="宋体" w:hAnsi="宋体" w:cs="宋体"/>
                <w:color w:val="000000"/>
                <w:kern w:val="0"/>
                <w:szCs w:val="21"/>
                <w:highlight w:val="none"/>
              </w:rPr>
              <w:t>a)</w:t>
            </w:r>
            <w:r>
              <w:rPr>
                <w:rFonts w:hint="eastAsia"/>
              </w:rPr>
              <w:t>火灾事故发生率为0</w:t>
            </w:r>
            <w:r>
              <w:rPr>
                <w:rFonts w:hint="eastAsia" w:ascii="宋体" w:hAnsi="宋体" w:cs="宋体"/>
                <w:color w:val="000000"/>
                <w:kern w:val="0"/>
                <w:szCs w:val="21"/>
                <w:highlight w:val="none"/>
                <w:lang w:eastAsia="zh-CN"/>
              </w:rPr>
              <w:t>；</w:t>
            </w:r>
          </w:p>
          <w:p>
            <w:pPr>
              <w:spacing w:line="300" w:lineRule="exact"/>
              <w:ind w:firstLine="420" w:firstLineChars="200"/>
              <w:rPr>
                <w:rFonts w:ascii="宋体" w:hAnsi="宋体"/>
                <w:b/>
                <w:color w:val="000000" w:themeColor="text1"/>
                <w:highlight w:val="none"/>
              </w:rPr>
            </w:pPr>
            <w:r>
              <w:rPr>
                <w:rFonts w:hint="eastAsia" w:ascii="宋体" w:hAnsi="宋体" w:cs="宋体"/>
                <w:color w:val="000000"/>
                <w:kern w:val="0"/>
                <w:szCs w:val="21"/>
                <w:highlight w:val="none"/>
              </w:rPr>
              <w:t>b)固体废弃物处置率100%。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rFonts w:ascii="宋体" w:hAnsi="宋体"/>
                <w:b/>
                <w:color w:val="000000" w:themeColor="text1"/>
                <w:sz w:val="20"/>
                <w:szCs w:val="20"/>
                <w:highlight w:val="none"/>
              </w:rPr>
            </w:pPr>
            <w:r>
              <w:rPr>
                <w:rFonts w:hint="eastAsia"/>
                <w:b/>
                <w:color w:val="000000" w:themeColor="text1"/>
                <w:sz w:val="20"/>
                <w:szCs w:val="20"/>
                <w:highlight w:val="none"/>
              </w:rPr>
              <w:t>10. 文件与记录控制 (</w:t>
            </w:r>
            <w:r>
              <w:rPr>
                <w:rFonts w:hint="eastAsia" w:ascii="宋体" w:hAnsi="宋体"/>
                <w:b/>
                <w:color w:val="000000" w:themeColor="text1"/>
                <w:sz w:val="20"/>
                <w:szCs w:val="20"/>
                <w:highlight w:val="none"/>
              </w:rPr>
              <w:t>文审修订后文件与标准的符合程度评价、</w:t>
            </w:r>
            <w:r>
              <w:rPr>
                <w:rFonts w:hint="eastAsia" w:ascii="宋体" w:hAnsi="宋体"/>
                <w:b/>
                <w:color w:val="000000" w:themeColor="text1"/>
                <w:spacing w:val="-4"/>
                <w:sz w:val="20"/>
                <w:szCs w:val="20"/>
                <w:highlight w:val="none"/>
              </w:rPr>
              <w:t>文件</w:t>
            </w:r>
            <w:r>
              <w:rPr>
                <w:rFonts w:hint="eastAsia" w:ascii="宋体" w:hAnsi="宋体"/>
                <w:b/>
                <w:color w:val="000000" w:themeColor="text1"/>
                <w:sz w:val="20"/>
                <w:szCs w:val="20"/>
                <w:highlight w:val="none"/>
              </w:rPr>
              <w:t>控制管理等)</w:t>
            </w:r>
          </w:p>
          <w:p>
            <w:pPr>
              <w:tabs>
                <w:tab w:val="left" w:pos="540"/>
              </w:tabs>
              <w:spacing w:line="240" w:lineRule="exact"/>
              <w:ind w:firstLine="420" w:firstLineChars="200"/>
              <w:rPr>
                <w:rFonts w:ascii="宋体" w:hAnsi="宋体"/>
                <w:b/>
                <w:color w:val="000000" w:themeColor="text1"/>
                <w:sz w:val="20"/>
                <w:szCs w:val="20"/>
                <w:highlight w:val="none"/>
              </w:rPr>
            </w:pPr>
            <w:r>
              <w:rPr>
                <w:rFonts w:hint="eastAsia" w:ascii="宋体" w:hAnsi="宋体" w:cs="宋体"/>
                <w:color w:val="000000" w:themeColor="text1"/>
                <w:highlight w:val="none"/>
              </w:rPr>
              <w:t>公司按照申请认证的标准要求，建立并形成了文件化的</w:t>
            </w:r>
            <w:r>
              <w:rPr>
                <w:rFonts w:hint="eastAsia" w:ascii="宋体" w:hAnsi="宋体"/>
                <w:color w:val="000000" w:themeColor="text1"/>
                <w:highlight w:val="none"/>
              </w:rPr>
              <w:t>环境</w:t>
            </w:r>
            <w:r>
              <w:rPr>
                <w:rFonts w:hint="eastAsia" w:ascii="宋体" w:hAnsi="宋体" w:cs="宋体"/>
                <w:color w:val="000000" w:themeColor="text1"/>
                <w:highlight w:val="none"/>
              </w:rPr>
              <w:t>管理体系，体系文件对管理体系各过程进行了识别确定、明确了各要素间的相互关系及其管控要求。公司体系文件于</w:t>
            </w:r>
            <w:r>
              <w:rPr>
                <w:rFonts w:hint="eastAsia" w:ascii="宋体" w:hAnsi="宋体" w:cs="Arial"/>
                <w:color w:val="000000" w:themeColor="text1"/>
                <w:highlight w:val="none"/>
              </w:rPr>
              <w:t>20</w:t>
            </w:r>
            <w:r>
              <w:rPr>
                <w:rFonts w:hint="eastAsia" w:ascii="宋体" w:hAnsi="宋体" w:cs="Arial"/>
                <w:color w:val="000000" w:themeColor="text1"/>
                <w:highlight w:val="none"/>
                <w:lang w:val="en-US" w:eastAsia="zh-CN"/>
              </w:rPr>
              <w:t>20</w:t>
            </w:r>
            <w:r>
              <w:rPr>
                <w:rFonts w:hint="eastAsia" w:ascii="宋体" w:hAnsi="宋体" w:cs="宋体"/>
                <w:color w:val="000000" w:themeColor="text1"/>
                <w:highlight w:val="none"/>
              </w:rPr>
              <w:t>年</w:t>
            </w:r>
            <w:r>
              <w:rPr>
                <w:rFonts w:hint="eastAsia" w:ascii="宋体" w:hAnsi="宋体" w:cs="宋体"/>
                <w:color w:val="000000" w:themeColor="text1"/>
                <w:highlight w:val="none"/>
                <w:lang w:val="en-US" w:eastAsia="zh-CN"/>
              </w:rPr>
              <w:t>09</w:t>
            </w:r>
            <w:r>
              <w:rPr>
                <w:rFonts w:hint="eastAsia" w:ascii="宋体" w:hAnsi="宋体" w:cs="宋体"/>
                <w:color w:val="000000" w:themeColor="text1"/>
                <w:highlight w:val="none"/>
              </w:rPr>
              <w:t>月</w:t>
            </w:r>
            <w:r>
              <w:rPr>
                <w:rFonts w:hint="eastAsia" w:ascii="宋体" w:hAnsi="宋体" w:cs="宋体"/>
                <w:color w:val="000000" w:themeColor="text1"/>
                <w:highlight w:val="none"/>
                <w:lang w:val="en-US" w:eastAsia="zh-CN"/>
              </w:rPr>
              <w:t>08</w:t>
            </w:r>
            <w:r>
              <w:rPr>
                <w:rFonts w:hint="eastAsia" w:ascii="宋体" w:hAnsi="宋体" w:cs="宋体"/>
                <w:color w:val="000000" w:themeColor="text1"/>
                <w:highlight w:val="none"/>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highlight w:val="none"/>
              </w:rPr>
            </w:pPr>
            <w:r>
              <w:rPr>
                <w:b/>
                <w:color w:val="000000" w:themeColor="text1"/>
                <w:szCs w:val="21"/>
                <w:highlight w:val="none"/>
              </w:rPr>
              <w:br w:type="page"/>
            </w:r>
            <w:r>
              <w:rPr>
                <w:rFonts w:hint="eastAsia" w:ascii="宋体" w:hAnsi="宋体"/>
                <w:b/>
                <w:color w:val="000000" w:themeColor="text1"/>
                <w:szCs w:val="21"/>
                <w:highlight w:val="none"/>
              </w:rPr>
              <w:t>(二)资源评价</w:t>
            </w:r>
          </w:p>
        </w:tc>
        <w:tc>
          <w:tcPr>
            <w:tcW w:w="9198" w:type="dxa"/>
          </w:tcPr>
          <w:p>
            <w:pPr>
              <w:spacing w:line="300" w:lineRule="exact"/>
              <w:rPr>
                <w:b/>
                <w:color w:val="000000" w:themeColor="text1"/>
                <w:sz w:val="20"/>
                <w:szCs w:val="20"/>
                <w:highlight w:val="none"/>
              </w:rPr>
            </w:pPr>
            <w:r>
              <w:rPr>
                <w:rFonts w:hint="eastAsia" w:ascii="宋体" w:hAnsi="宋体"/>
                <w:b/>
                <w:color w:val="000000" w:themeColor="text1"/>
                <w:sz w:val="20"/>
                <w:szCs w:val="20"/>
                <w:highlight w:val="none"/>
              </w:rPr>
              <w:t>人力资源的简要说明</w:t>
            </w:r>
            <w:r>
              <w:rPr>
                <w:rFonts w:hint="eastAsia"/>
                <w:b/>
                <w:color w:val="000000" w:themeColor="text1"/>
                <w:sz w:val="20"/>
                <w:szCs w:val="20"/>
                <w:highlight w:val="none"/>
              </w:rPr>
              <w:t>.</w:t>
            </w:r>
            <w:r>
              <w:rPr>
                <w:rFonts w:hint="eastAsia" w:ascii="宋体" w:hAnsi="宋体"/>
                <w:b/>
                <w:color w:val="000000" w:themeColor="text1"/>
                <w:sz w:val="20"/>
                <w:szCs w:val="20"/>
                <w:highlight w:val="none"/>
              </w:rPr>
              <w:t>:</w:t>
            </w:r>
          </w:p>
          <w:p>
            <w:pPr>
              <w:tabs>
                <w:tab w:val="left" w:pos="2552"/>
              </w:tabs>
              <w:spacing w:line="0" w:lineRule="atLeast"/>
              <w:ind w:firstLine="420" w:firstLineChars="200"/>
              <w:rPr>
                <w:rFonts w:ascii="宋体" w:hAnsi="宋体"/>
                <w:bCs/>
                <w:iCs/>
                <w:szCs w:val="22"/>
                <w:highlight w:val="none"/>
              </w:rPr>
            </w:pPr>
            <w:r>
              <w:rPr>
                <w:rFonts w:hint="eastAsia" w:ascii="宋体" w:hAnsi="宋体"/>
                <w:bCs/>
                <w:iCs/>
                <w:highlight w:val="none"/>
              </w:rPr>
              <w:t>组</w:t>
            </w:r>
            <w:r>
              <w:rPr>
                <w:rFonts w:hint="eastAsia" w:ascii="宋体" w:hAnsi="宋体"/>
                <w:bCs/>
                <w:iCs/>
                <w:szCs w:val="22"/>
                <w:highlight w:val="none"/>
              </w:rPr>
              <w:t>织按管理体系需求配置了充足的人员、设施、监视和测量设备等资源，并建立维持了</w:t>
            </w:r>
            <w:r>
              <w:rPr>
                <w:sz w:val="20"/>
              </w:rPr>
              <w:t>油田助剂的销售所涉及场所的相关环境管理活动</w:t>
            </w:r>
            <w:r>
              <w:rPr>
                <w:rFonts w:hint="eastAsia" w:ascii="宋体" w:hAnsi="宋体"/>
                <w:bCs/>
                <w:iCs/>
                <w:szCs w:val="22"/>
                <w:highlight w:val="none"/>
              </w:rPr>
              <w:t>可以维持管理体系的正常运行。</w:t>
            </w:r>
          </w:p>
          <w:p>
            <w:pPr>
              <w:spacing w:line="300" w:lineRule="exact"/>
              <w:rPr>
                <w:rFonts w:ascii="宋体" w:hAnsi="宋体"/>
                <w:b/>
                <w:color w:val="000000" w:themeColor="text1"/>
                <w:sz w:val="20"/>
                <w:szCs w:val="20"/>
                <w:highlight w:val="none"/>
              </w:rPr>
            </w:pPr>
            <w:r>
              <w:rPr>
                <w:rFonts w:hint="eastAsia" w:ascii="宋体" w:hAnsi="宋体"/>
                <w:bCs/>
                <w:iCs/>
                <w:highlight w:val="none"/>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0" w:lineRule="atLeast"/>
              <w:jc w:val="left"/>
              <w:rPr>
                <w:rFonts w:hint="eastAsia" w:ascii="宋体" w:hAnsi="宋体"/>
                <w:b/>
                <w:color w:val="000000" w:themeColor="text1"/>
                <w:sz w:val="20"/>
                <w:szCs w:val="20"/>
                <w:highlight w:val="none"/>
              </w:rPr>
            </w:pPr>
            <w:r>
              <w:rPr>
                <w:rFonts w:hint="eastAsia" w:ascii="宋体" w:hAnsi="宋体"/>
                <w:b/>
                <w:color w:val="000000" w:themeColor="text1"/>
                <w:sz w:val="20"/>
                <w:szCs w:val="20"/>
                <w:highlight w:val="none"/>
              </w:rPr>
              <w:t>设备设施（包括信息系统）</w:t>
            </w:r>
          </w:p>
          <w:p>
            <w:pPr>
              <w:spacing w:line="0" w:lineRule="atLeast"/>
              <w:ind w:firstLine="420" w:firstLineChars="200"/>
              <w:jc w:val="left"/>
              <w:rPr>
                <w:rFonts w:ascii="宋体" w:hAnsi="宋体"/>
                <w:b/>
                <w:color w:val="000000" w:themeColor="text1"/>
                <w:sz w:val="20"/>
                <w:szCs w:val="20"/>
                <w:highlight w:val="none"/>
              </w:rPr>
            </w:pPr>
            <w:r>
              <w:rPr>
                <w:rFonts w:hint="eastAsia" w:ascii="宋体" w:hAnsi="宋体" w:cs="宋体"/>
                <w:szCs w:val="21"/>
                <w:highlight w:val="none"/>
              </w:rPr>
              <w:t>办公场所面积</w:t>
            </w:r>
            <w:r>
              <w:rPr>
                <w:rFonts w:hint="eastAsia" w:ascii="宋体" w:hAnsi="宋体" w:cs="宋体"/>
                <w:szCs w:val="21"/>
                <w:highlight w:val="none"/>
                <w:lang w:val="en-US" w:eastAsia="zh-CN"/>
              </w:rPr>
              <w:t>500</w:t>
            </w:r>
            <w:r>
              <w:rPr>
                <w:rFonts w:hint="eastAsia" w:ascii="宋体" w:hAnsi="宋体" w:cs="宋体"/>
                <w:szCs w:val="21"/>
                <w:highlight w:val="none"/>
              </w:rPr>
              <w:t>平方左右</w:t>
            </w:r>
            <w:r>
              <w:rPr>
                <w:rFonts w:hint="eastAsia" w:ascii="宋体" w:hAnsi="宋体" w:cs="宋体"/>
                <w:szCs w:val="21"/>
                <w:highlight w:val="none"/>
                <w:lang w:eastAsia="zh-CN"/>
              </w:rPr>
              <w:t>，</w:t>
            </w:r>
            <w:r>
              <w:rPr>
                <w:rFonts w:hint="eastAsia" w:ascii="宋体" w:hAnsi="宋体" w:cs="宋体"/>
                <w:szCs w:val="21"/>
                <w:highlight w:val="none"/>
                <w:lang w:val="en-US" w:eastAsia="zh-CN"/>
              </w:rPr>
              <w:t>公司销售</w:t>
            </w:r>
            <w:r>
              <w:rPr>
                <w:rFonts w:hint="eastAsia" w:ascii="宋体" w:hAnsi="宋体" w:cs="宋体"/>
                <w:szCs w:val="21"/>
                <w:highlight w:val="none"/>
              </w:rPr>
              <w:t>主要设备为电脑、打印机、传真机等办公设备，可以满足</w:t>
            </w:r>
            <w:r>
              <w:rPr>
                <w:sz w:val="20"/>
              </w:rPr>
              <w:t>油田助剂的销售所涉及场所的相关环境管理活动</w:t>
            </w:r>
            <w:r>
              <w:rPr>
                <w:rFonts w:hint="eastAsia" w:ascii="宋体" w:hAnsi="宋体"/>
                <w:szCs w:val="21"/>
                <w:highlight w:val="none"/>
              </w:rPr>
              <w:t>的需要</w:t>
            </w:r>
            <w:r>
              <w:rPr>
                <w:rFonts w:hint="eastAsia" w:ascii="宋体" w:hAnsi="宋体" w:cs="宋体"/>
                <w:szCs w:val="21"/>
                <w:highlight w:val="none"/>
              </w:rPr>
              <w:t>。对</w:t>
            </w:r>
            <w:r>
              <w:rPr>
                <w:rFonts w:hint="eastAsia" w:ascii="宋体" w:hAnsi="宋体" w:cs="宋体"/>
                <w:szCs w:val="21"/>
                <w:highlight w:val="none"/>
                <w:lang w:val="en-US" w:eastAsia="zh-CN"/>
              </w:rPr>
              <w:t>办公设备定期进行</w:t>
            </w:r>
            <w:r>
              <w:rPr>
                <w:rFonts w:hint="eastAsia" w:ascii="宋体" w:hAnsi="宋体" w:cs="宋体"/>
                <w:szCs w:val="21"/>
                <w:highlight w:val="none"/>
              </w:rPr>
              <w:t>维护保养，并实施。特种设备：</w:t>
            </w:r>
            <w:r>
              <w:rPr>
                <w:rFonts w:hint="eastAsia" w:asciiTheme="minorHAnsi" w:eastAsiaTheme="minorHAnsi"/>
                <w:szCs w:val="21"/>
                <w:highlight w:val="none"/>
                <w:lang w:val="en-US" w:eastAsia="zh-CN"/>
              </w:rPr>
              <w:t>无</w:t>
            </w:r>
            <w:r>
              <w:rPr>
                <w:rFonts w:hint="eastAsia" w:ascii="宋体" w:hAnsi="宋体" w:cs="宋体"/>
                <w:szCs w:val="21"/>
                <w:highlight w:val="none"/>
              </w:rPr>
              <w:t>。公司未建立信息管理系统用于生产和服务。</w:t>
            </w:r>
          </w:p>
          <w:p>
            <w:pPr>
              <w:spacing w:line="240" w:lineRule="exact"/>
              <w:rPr>
                <w:rFonts w:ascii="宋体" w:hAnsi="宋体"/>
                <w:b/>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过程运行环境</w:t>
            </w:r>
          </w:p>
          <w:p>
            <w:pPr>
              <w:spacing w:line="240" w:lineRule="exact"/>
              <w:ind w:firstLine="420" w:firstLineChars="200"/>
              <w:rPr>
                <w:rFonts w:ascii="宋体" w:hAnsi="宋体"/>
                <w:b/>
                <w:color w:val="000000" w:themeColor="text1"/>
                <w:sz w:val="20"/>
                <w:szCs w:val="20"/>
                <w:highlight w:val="none"/>
              </w:rPr>
            </w:pPr>
            <w:r>
              <w:rPr>
                <w:rFonts w:hint="eastAsia" w:ascii="宋体" w:hAnsi="宋体" w:cs="宋体"/>
                <w:szCs w:val="21"/>
                <w:highlight w:val="none"/>
              </w:rPr>
              <w:t>办公场所和内设备布置合理，通道畅通，照明设施齐全，均配备了消防设施等设施。办公室明亮，培训场所光线较充足。每月由</w:t>
            </w:r>
            <w:r>
              <w:rPr>
                <w:rFonts w:hint="eastAsia" w:ascii="宋体" w:hAnsi="宋体" w:cs="宋体"/>
                <w:szCs w:val="21"/>
                <w:highlight w:val="none"/>
                <w:lang w:val="en-US" w:eastAsia="zh-CN"/>
              </w:rPr>
              <w:t>办公室</w:t>
            </w:r>
            <w:r>
              <w:rPr>
                <w:rFonts w:hint="eastAsia" w:ascii="宋体" w:hAnsi="宋体" w:cs="宋体"/>
                <w:szCs w:val="21"/>
                <w:highlight w:val="none"/>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监视和测量资源</w:t>
            </w:r>
          </w:p>
          <w:p>
            <w:pPr>
              <w:spacing w:line="240" w:lineRule="exact"/>
              <w:rPr>
                <w:rFonts w:ascii="宋体" w:hAnsi="宋体"/>
                <w:b/>
                <w:sz w:val="20"/>
                <w:szCs w:val="20"/>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知识</w:t>
            </w:r>
          </w:p>
          <w:p>
            <w:pPr>
              <w:spacing w:line="400" w:lineRule="exact"/>
              <w:ind w:firstLine="315" w:firstLineChars="150"/>
              <w:rPr>
                <w:rFonts w:hint="eastAsia" w:ascii="宋体" w:hAnsi="宋体" w:cs="宋体"/>
                <w:color w:val="000000"/>
                <w:szCs w:val="21"/>
                <w:highlight w:val="none"/>
              </w:rPr>
            </w:pPr>
            <w:r>
              <w:rPr>
                <w:rFonts w:hint="eastAsia" w:ascii="宋体" w:hAnsi="宋体" w:cs="宋体"/>
                <w:color w:val="000000"/>
                <w:szCs w:val="21"/>
                <w:highlight w:val="none"/>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highlight w:val="none"/>
              </w:rPr>
            </w:pPr>
            <w:r>
              <w:rPr>
                <w:rFonts w:hint="eastAsia" w:ascii="宋体" w:hAnsi="宋体" w:cs="宋体"/>
                <w:color w:val="000000"/>
                <w:szCs w:val="21"/>
                <w:highlight w:val="none"/>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sz w:val="20"/>
                <w:szCs w:val="20"/>
                <w:highlight w:val="none"/>
              </w:rPr>
            </w:pPr>
            <w:r>
              <w:rPr>
                <w:rFonts w:hint="eastAsia" w:ascii="宋体" w:hAnsi="宋体"/>
                <w:b/>
                <w:sz w:val="20"/>
                <w:szCs w:val="20"/>
                <w:highlight w:val="none"/>
              </w:rPr>
              <w:t>环保设施：</w:t>
            </w:r>
          </w:p>
          <w:p>
            <w:pPr>
              <w:spacing w:line="240" w:lineRule="exact"/>
              <w:rPr>
                <w:rFonts w:ascii="宋体" w:hAnsi="宋体"/>
                <w:sz w:val="20"/>
                <w:szCs w:val="20"/>
                <w:highlight w:val="none"/>
              </w:rPr>
            </w:pPr>
            <w:r>
              <w:rPr>
                <w:rFonts w:hint="eastAsia" w:ascii="宋体" w:hAnsi="宋体" w:cs="宋体"/>
                <w:color w:val="000000"/>
                <w:szCs w:val="21"/>
                <w:highlight w:val="none"/>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sz w:val="20"/>
                <w:szCs w:val="20"/>
                <w:highlight w:val="none"/>
              </w:rPr>
            </w:pPr>
            <w:r>
              <w:rPr>
                <w:rFonts w:hint="eastAsia" w:ascii="宋体" w:hAnsi="宋体"/>
                <w:b/>
                <w:sz w:val="20"/>
                <w:szCs w:val="20"/>
                <w:highlight w:val="none"/>
              </w:rPr>
              <w:t>职业健康安全设施：</w:t>
            </w:r>
          </w:p>
          <w:p>
            <w:pPr>
              <w:spacing w:line="240" w:lineRule="exact"/>
              <w:rPr>
                <w:rFonts w:ascii="宋体" w:hAnsi="宋体"/>
                <w:sz w:val="20"/>
                <w:szCs w:val="20"/>
                <w:highlight w:val="none"/>
              </w:rPr>
            </w:pPr>
            <w:r>
              <w:rPr>
                <w:rFonts w:hint="eastAsia" w:ascii="宋体" w:hAnsi="宋体"/>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highlight w:val="none"/>
              </w:rPr>
            </w:pPr>
            <w:r>
              <w:rPr>
                <w:rFonts w:hint="eastAsia"/>
                <w:b/>
                <w:color w:val="000000" w:themeColor="text1"/>
                <w:sz w:val="20"/>
                <w:szCs w:val="20"/>
                <w:highlight w:val="none"/>
              </w:rPr>
              <w:t>(三)体系运行情况</w:t>
            </w:r>
          </w:p>
        </w:tc>
        <w:tc>
          <w:tcPr>
            <w:tcW w:w="9198" w:type="dxa"/>
          </w:tcPr>
          <w:p>
            <w:pPr>
              <w:spacing w:line="300" w:lineRule="exact"/>
              <w:rPr>
                <w:b/>
                <w:color w:val="000000" w:themeColor="text1"/>
                <w:sz w:val="20"/>
                <w:szCs w:val="20"/>
                <w:highlight w:val="none"/>
              </w:rPr>
            </w:pPr>
            <w:r>
              <w:rPr>
                <w:rFonts w:hint="eastAsia"/>
                <w:b/>
                <w:color w:val="000000" w:themeColor="text1"/>
                <w:sz w:val="20"/>
                <w:szCs w:val="20"/>
                <w:highlight w:val="none"/>
              </w:rPr>
              <w:t>1. 针对方针的管理职责评审</w:t>
            </w:r>
          </w:p>
          <w:p>
            <w:pPr>
              <w:spacing w:line="300" w:lineRule="exact"/>
              <w:ind w:left="1"/>
              <w:rPr>
                <w:b/>
                <w:color w:val="000000" w:themeColor="text1"/>
                <w:sz w:val="20"/>
                <w:szCs w:val="20"/>
                <w:highlight w:val="none"/>
              </w:rPr>
            </w:pPr>
            <w:r>
              <w:rPr>
                <w:rFonts w:hint="eastAsia"/>
                <w:b/>
                <w:color w:val="000000" w:themeColor="text1"/>
                <w:sz w:val="20"/>
                <w:szCs w:val="20"/>
                <w:highlight w:val="none"/>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highlight w:val="none"/>
              </w:rPr>
            </w:pPr>
            <w:r>
              <w:rPr>
                <w:rFonts w:hint="eastAsia" w:ascii="宋体" w:hAnsi="宋体" w:cs="宋体"/>
                <w:szCs w:val="21"/>
                <w:highlight w:val="none"/>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ind w:left="159" w:hanging="159" w:hangingChars="79"/>
              <w:rPr>
                <w:b/>
                <w:color w:val="000000" w:themeColor="text1"/>
                <w:sz w:val="20"/>
                <w:szCs w:val="20"/>
                <w:highlight w:val="none"/>
              </w:rPr>
            </w:pPr>
            <w:r>
              <w:rPr>
                <w:rFonts w:hint="eastAsia"/>
                <w:b/>
                <w:color w:val="000000" w:themeColor="text1"/>
                <w:sz w:val="20"/>
                <w:szCs w:val="20"/>
                <w:highlight w:val="none"/>
              </w:rPr>
              <w:t>2. 组织内部沟通的充分性与效果；（OHSMS员工参与风险管理/健康安全事务的关心和影响力；组织对外联络关注顾客的感受情况、</w:t>
            </w:r>
            <w:r>
              <w:rPr>
                <w:b/>
                <w:color w:val="000000" w:themeColor="text1"/>
                <w:sz w:val="20"/>
                <w:szCs w:val="20"/>
                <w:highlight w:val="none"/>
              </w:rPr>
              <w:t>信息交流</w:t>
            </w:r>
            <w:r>
              <w:rPr>
                <w:rFonts w:hint="eastAsia"/>
                <w:b/>
                <w:color w:val="000000" w:themeColor="text1"/>
                <w:sz w:val="20"/>
                <w:szCs w:val="20"/>
                <w:highlight w:val="none"/>
              </w:rPr>
              <w:t>包括通报相关方的情况等）</w:t>
            </w:r>
          </w:p>
          <w:p>
            <w:pPr>
              <w:spacing w:line="240" w:lineRule="exact"/>
              <w:rPr>
                <w:rFonts w:ascii="楷体_GB2312" w:eastAsia="楷体_GB2312"/>
                <w:b/>
                <w:color w:val="000000" w:themeColor="text1"/>
                <w:sz w:val="20"/>
                <w:szCs w:val="20"/>
                <w:highlight w:val="none"/>
              </w:rPr>
            </w:pP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内部沟通的情况：内部沟通方式：</w:t>
            </w:r>
            <w:r>
              <w:rPr>
                <w:rFonts w:hint="eastAsia" w:ascii="宋体" w:hAnsi="宋体" w:cs="宋体"/>
                <w:color w:val="000000"/>
                <w:szCs w:val="21"/>
                <w:highlight w:val="none"/>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 xml:space="preserve">                内部沟通的效果：良好</w:t>
            </w:r>
          </w:p>
          <w:p>
            <w:pPr>
              <w:spacing w:line="240" w:lineRule="exact"/>
              <w:rPr>
                <w:rFonts w:ascii="楷体_GB2312" w:eastAsia="楷体_GB2312"/>
                <w:b/>
                <w:color w:val="000000" w:themeColor="text1"/>
                <w:sz w:val="20"/>
                <w:szCs w:val="20"/>
                <w:highlight w:val="none"/>
              </w:rPr>
            </w:pP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组织对外联络，关注顾客的感受情况（QMS）：</w:t>
            </w:r>
          </w:p>
          <w:p>
            <w:pPr>
              <w:spacing w:line="240" w:lineRule="exact"/>
              <w:rPr>
                <w:rFonts w:ascii="楷体_GB2312" w:eastAsia="楷体_GB2312"/>
                <w:b/>
                <w:color w:val="000000" w:themeColor="text1"/>
                <w:sz w:val="20"/>
                <w:szCs w:val="20"/>
                <w:highlight w:val="none"/>
              </w:rPr>
            </w:pP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外部信息的接收、成文并答复的情况（E、S填写）：对会议通知和规定等登记处理</w:t>
            </w:r>
          </w:p>
          <w:p>
            <w:pPr>
              <w:spacing w:line="240" w:lineRule="exact"/>
              <w:rPr>
                <w:rFonts w:ascii="楷体_GB2312" w:eastAsia="楷体_GB2312"/>
                <w:b/>
                <w:color w:val="000000" w:themeColor="text1"/>
                <w:sz w:val="20"/>
                <w:szCs w:val="20"/>
                <w:highlight w:val="none"/>
              </w:rPr>
            </w:pPr>
          </w:p>
          <w:p>
            <w:pPr>
              <w:spacing w:line="240" w:lineRule="exact"/>
              <w:rPr>
                <w:szCs w:val="21"/>
                <w:highlight w:val="none"/>
              </w:rPr>
            </w:pPr>
            <w:r>
              <w:rPr>
                <w:rFonts w:hint="eastAsia" w:ascii="楷体_GB2312" w:eastAsia="楷体_GB2312"/>
                <w:b/>
                <w:color w:val="000000" w:themeColor="text1"/>
                <w:sz w:val="20"/>
                <w:szCs w:val="20"/>
                <w:highlight w:val="none"/>
              </w:rPr>
              <w:t>重要环境因素信息对外交流情况（EMS填写）：</w:t>
            </w:r>
            <w:r>
              <w:rPr>
                <w:rFonts w:hint="eastAsia"/>
                <w:szCs w:val="21"/>
                <w:highlight w:val="none"/>
              </w:rPr>
              <w:t>主要通过网络、交流及公开信、合同等方式进行，并达成一致性意见实施有效控制</w:t>
            </w:r>
          </w:p>
          <w:p>
            <w:pPr>
              <w:spacing w:line="240" w:lineRule="exact"/>
              <w:rPr>
                <w:rFonts w:ascii="楷体_GB2312" w:eastAsia="楷体_GB2312"/>
                <w:b/>
                <w:color w:val="000000" w:themeColor="text1"/>
                <w:sz w:val="20"/>
                <w:szCs w:val="20"/>
                <w:highlight w:val="none"/>
              </w:rPr>
            </w:pPr>
          </w:p>
          <w:p>
            <w:pPr>
              <w:spacing w:line="240" w:lineRule="exact"/>
              <w:rPr>
                <w:rFonts w:ascii="楷体_GB2312" w:eastAsia="楷体_GB2312"/>
                <w:b/>
                <w:color w:val="000000" w:themeColor="text1"/>
                <w:szCs w:val="21"/>
                <w:highlight w:val="none"/>
              </w:rPr>
            </w:pPr>
            <w:r>
              <w:rPr>
                <w:rFonts w:hint="eastAsia" w:ascii="楷体_GB2312" w:eastAsia="楷体_GB2312"/>
                <w:b/>
                <w:color w:val="000000" w:themeColor="text1"/>
                <w:sz w:val="20"/>
                <w:szCs w:val="20"/>
                <w:highlight w:val="none"/>
              </w:rPr>
              <w:t>OHSMS事务代表协商和交流的情况（OHSMS填写）：</w:t>
            </w:r>
          </w:p>
          <w:p>
            <w:pPr>
              <w:spacing w:line="240" w:lineRule="exact"/>
              <w:rPr>
                <w:rFonts w:ascii="楷体_GB2312" w:eastAsia="楷体_GB2312"/>
                <w:b/>
                <w:color w:val="000000" w:themeColor="text1"/>
                <w:szCs w:val="21"/>
                <w:highlight w:val="none"/>
              </w:rPr>
            </w:pPr>
            <w:r>
              <w:rPr>
                <w:rFonts w:hint="eastAsia" w:ascii="楷体_GB2312" w:eastAsia="楷体_GB2312"/>
                <w:b/>
                <w:color w:val="000000" w:themeColor="text1"/>
                <w:szCs w:val="21"/>
                <w:highlight w:val="none"/>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3.  QMS 组织对重要过程实施控制的结果</w:t>
            </w:r>
          </w:p>
          <w:p>
            <w:pPr>
              <w:spacing w:line="240" w:lineRule="exact"/>
              <w:ind w:left="188" w:leftChars="42" w:hanging="100" w:hangingChars="50"/>
              <w:rPr>
                <w:b/>
                <w:color w:val="000000" w:themeColor="text1"/>
                <w:sz w:val="20"/>
                <w:szCs w:val="20"/>
                <w:highlight w:val="none"/>
              </w:rPr>
            </w:pPr>
            <w:r>
              <w:rPr>
                <w:rFonts w:hint="eastAsia"/>
                <w:b/>
                <w:color w:val="000000" w:themeColor="text1"/>
                <w:sz w:val="20"/>
                <w:szCs w:val="20"/>
                <w:highlight w:val="none"/>
              </w:rPr>
              <w:t>(包括对QMS关键工序(过程)、特殊过程控制;评价组织对过程实施控制情况/)</w:t>
            </w:r>
          </w:p>
          <w:p>
            <w:pPr>
              <w:spacing w:line="240" w:lineRule="exact"/>
              <w:rPr>
                <w:b/>
                <w:color w:val="000000" w:themeColor="text1"/>
                <w:sz w:val="20"/>
                <w:szCs w:val="20"/>
                <w:highlight w:val="none"/>
              </w:rPr>
            </w:pPr>
            <w:r>
              <w:rPr>
                <w:rFonts w:hint="eastAsia"/>
                <w:b/>
                <w:color w:val="000000" w:themeColor="text1"/>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300" w:lineRule="exact"/>
              <w:jc w:val="left"/>
              <w:rPr>
                <w:b/>
                <w:color w:val="000000" w:themeColor="text1"/>
                <w:sz w:val="20"/>
                <w:szCs w:val="20"/>
                <w:highlight w:val="none"/>
              </w:rPr>
            </w:pPr>
            <w:r>
              <w:rPr>
                <w:rFonts w:hint="eastAsia"/>
                <w:b/>
                <w:color w:val="000000" w:themeColor="text1"/>
                <w:sz w:val="20"/>
                <w:szCs w:val="20"/>
                <w:highlight w:val="none"/>
              </w:rPr>
              <w:t>4.QMS产品/服务的标准、协议/规范的有效性以及产品/服务质量符合要求，向顾客稳定提供合格产品的情况；</w:t>
            </w:r>
          </w:p>
          <w:p>
            <w:pPr>
              <w:spacing w:line="240" w:lineRule="exact"/>
              <w:rPr>
                <w:color w:val="000000" w:themeColor="text1"/>
                <w:sz w:val="20"/>
                <w:szCs w:val="20"/>
                <w:highlight w:val="none"/>
              </w:rPr>
            </w:pPr>
            <w:r>
              <w:rPr>
                <w:rFonts w:hint="eastAsia"/>
                <w:b/>
                <w:color w:val="000000" w:themeColor="text1"/>
                <w:sz w:val="20"/>
                <w:szCs w:val="20"/>
                <w:highlight w:val="none"/>
              </w:rPr>
              <w:t>(应说明相关证据)：</w:t>
            </w:r>
          </w:p>
          <w:p>
            <w:pPr>
              <w:spacing w:line="240" w:lineRule="exact"/>
              <w:rPr>
                <w:b/>
                <w:color w:val="000000" w:themeColor="text1"/>
                <w:sz w:val="20"/>
                <w:szCs w:val="20"/>
                <w:highlight w:val="none"/>
              </w:rPr>
            </w:pPr>
            <w:r>
              <w:rPr>
                <w:rFonts w:hint="eastAsia"/>
                <w:b/>
                <w:color w:val="000000" w:themeColor="text1"/>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5 .QMS国家/地方技术监督部门监测（检测、委托检测、定期监测、型式试验等）、抽查结果</w:t>
            </w:r>
          </w:p>
          <w:p>
            <w:pPr>
              <w:spacing w:line="300" w:lineRule="exact"/>
              <w:ind w:firstLine="197" w:firstLineChars="98"/>
              <w:rPr>
                <w:b/>
                <w:color w:val="000000" w:themeColor="text1"/>
                <w:sz w:val="20"/>
                <w:szCs w:val="20"/>
                <w:highlight w:val="none"/>
              </w:rPr>
            </w:pPr>
            <w:r>
              <w:rPr>
                <w:rFonts w:hint="eastAsia"/>
                <w:b/>
                <w:color w:val="000000" w:themeColor="text1"/>
                <w:sz w:val="20"/>
                <w:szCs w:val="20"/>
                <w:highlight w:val="none"/>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pacing w:val="-8"/>
                <w:sz w:val="20"/>
                <w:szCs w:val="20"/>
                <w:highlight w:val="none"/>
              </w:rPr>
            </w:pPr>
            <w:r>
              <w:rPr>
                <w:rFonts w:hint="eastAsia"/>
                <w:b/>
                <w:color w:val="000000" w:themeColor="text1"/>
                <w:sz w:val="20"/>
                <w:szCs w:val="20"/>
                <w:highlight w:val="none"/>
              </w:rPr>
              <w:t xml:space="preserve">6. </w:t>
            </w:r>
            <w:r>
              <w:rPr>
                <w:rFonts w:hint="eastAsia"/>
                <w:b/>
                <w:color w:val="000000" w:themeColor="text1"/>
                <w:spacing w:val="-8"/>
                <w:sz w:val="20"/>
                <w:szCs w:val="20"/>
                <w:highlight w:val="none"/>
              </w:rPr>
              <w:t>不合格品/项的识别、控制;</w:t>
            </w:r>
          </w:p>
          <w:p>
            <w:pPr>
              <w:spacing w:line="240" w:lineRule="exact"/>
              <w:rPr>
                <w:b/>
                <w:color w:val="000000" w:themeColor="text1"/>
                <w:sz w:val="20"/>
                <w:szCs w:val="20"/>
                <w:highlight w:val="none"/>
              </w:rPr>
            </w:pPr>
            <w:r>
              <w:rPr>
                <w:rFonts w:hint="eastAsia"/>
                <w:b/>
                <w:color w:val="000000" w:themeColor="text1"/>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2"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7. EMS组织对重要环境因素实施控制的结果</w:t>
            </w:r>
          </w:p>
          <w:p>
            <w:pPr>
              <w:spacing w:line="240" w:lineRule="exact"/>
              <w:rPr>
                <w:b/>
                <w:color w:val="000000" w:themeColor="text1"/>
                <w:sz w:val="20"/>
                <w:szCs w:val="20"/>
                <w:highlight w:val="none"/>
              </w:rPr>
            </w:pPr>
            <w:r>
              <w:rPr>
                <w:rFonts w:hint="eastAsia"/>
                <w:b/>
                <w:color w:val="000000" w:themeColor="text1"/>
                <w:sz w:val="20"/>
                <w:szCs w:val="20"/>
                <w:highlight w:val="none"/>
              </w:rPr>
              <w:t>（EMS对重要环境因素控制，重大环境因素对周边环境产生的影响及控制;对相关方施加影响）</w:t>
            </w:r>
          </w:p>
          <w:p>
            <w:pPr>
              <w:tabs>
                <w:tab w:val="left" w:pos="2552"/>
              </w:tabs>
              <w:spacing w:line="360" w:lineRule="exact"/>
              <w:ind w:firstLine="315" w:firstLineChars="150"/>
              <w:rPr>
                <w:rFonts w:asciiTheme="minorEastAsia" w:hAnsiTheme="minorEastAsia" w:eastAsiaTheme="minorEastAsia"/>
                <w:bCs/>
                <w:iCs/>
                <w:highlight w:val="none"/>
              </w:rPr>
            </w:pPr>
            <w:r>
              <w:rPr>
                <w:rFonts w:hint="eastAsia" w:asciiTheme="minorEastAsia" w:hAnsiTheme="minorEastAsia" w:eastAsiaTheme="minorEastAsia"/>
                <w:bCs/>
                <w:iCs/>
                <w:highlight w:val="none"/>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Theme="minorEastAsia" w:hAnsiTheme="minorEastAsia" w:eastAsiaTheme="minorEastAsia"/>
                <w:bCs/>
                <w:iCs/>
                <w:highlight w:val="none"/>
                <w:lang w:eastAsia="zh-CN"/>
              </w:rPr>
              <w:t>固废排放</w:t>
            </w:r>
            <w:r>
              <w:rPr>
                <w:rFonts w:hint="eastAsia" w:asciiTheme="minorEastAsia" w:hAnsiTheme="minorEastAsia" w:eastAsiaTheme="minorEastAsia"/>
                <w:bCs/>
                <w:iCs/>
                <w:highlight w:val="none"/>
              </w:rPr>
              <w:t>、潜在火灾的应急预案等。</w:t>
            </w:r>
          </w:p>
          <w:p>
            <w:pPr>
              <w:spacing w:line="240" w:lineRule="exact"/>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8. OHS 组织对不可接受风险实施控制的结果</w:t>
            </w:r>
          </w:p>
          <w:p>
            <w:pPr>
              <w:spacing w:line="240" w:lineRule="exact"/>
              <w:rPr>
                <w:b/>
                <w:color w:val="000000" w:themeColor="text1"/>
                <w:sz w:val="20"/>
                <w:szCs w:val="20"/>
                <w:highlight w:val="none"/>
              </w:rPr>
            </w:pPr>
            <w:r>
              <w:rPr>
                <w:rFonts w:hint="eastAsia"/>
                <w:b/>
                <w:color w:val="000000" w:themeColor="text1"/>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ind w:firstLine="420" w:firstLineChars="200"/>
              <w:rPr>
                <w:rFonts w:asciiTheme="minorEastAsia" w:hAnsiTheme="minorEastAsia" w:eastAsiaTheme="minorEastAsia"/>
                <w:b/>
                <w:color w:val="000000" w:themeColor="text1"/>
                <w:spacing w:val="-4"/>
                <w:sz w:val="20"/>
                <w:szCs w:val="20"/>
                <w:highlight w:val="none"/>
              </w:rPr>
            </w:pPr>
            <w:r>
              <w:rPr>
                <w:rFonts w:hint="eastAsia" w:asciiTheme="minorEastAsia" w:hAnsiTheme="minorEastAsia" w:eastAsiaTheme="minorEastAsia"/>
                <w:bCs/>
                <w:iCs/>
                <w:highlight w:val="none"/>
              </w:rPr>
              <w:t>组织识别了紧急情况，应急准备和响应为潜在火灾，识别合理、有效。应急物资配备有灭火器和消防栓，编制有应急预案，并</w:t>
            </w:r>
            <w:r>
              <w:rPr>
                <w:rFonts w:hint="eastAsia" w:asciiTheme="minorEastAsia" w:hAnsiTheme="minorEastAsia" w:eastAsiaTheme="minorEastAsia"/>
                <w:bCs/>
                <w:iCs/>
                <w:highlight w:val="none"/>
                <w:lang w:val="en-US" w:eastAsia="zh-CN"/>
              </w:rPr>
              <w:t>于2021年01月03</w:t>
            </w:r>
            <w:bookmarkStart w:id="21" w:name="_GoBack"/>
            <w:bookmarkEnd w:id="21"/>
            <w:r>
              <w:rPr>
                <w:rFonts w:hint="eastAsia" w:asciiTheme="minorEastAsia" w:hAnsiTheme="minorEastAsia" w:eastAsiaTheme="minorEastAsia"/>
                <w:bCs/>
                <w:iCs/>
                <w:highlight w:val="none"/>
                <w:lang w:val="en-US" w:eastAsia="zh-CN"/>
              </w:rPr>
              <w:t>日由综合部</w:t>
            </w:r>
            <w:r>
              <w:rPr>
                <w:rFonts w:hint="eastAsia" w:asciiTheme="minorEastAsia" w:hAnsiTheme="minorEastAsia" w:eastAsiaTheme="minorEastAsia"/>
                <w:bCs/>
                <w:iCs/>
                <w:highlight w:val="none"/>
              </w:rPr>
              <w:t>组织了</w:t>
            </w:r>
            <w:r>
              <w:rPr>
                <w:rFonts w:hint="eastAsia" w:asciiTheme="minorEastAsia" w:hAnsiTheme="minorEastAsia" w:eastAsiaTheme="minorEastAsia"/>
                <w:bCs/>
                <w:iCs/>
                <w:highlight w:val="none"/>
                <w:lang w:val="en-US" w:eastAsia="zh-CN"/>
              </w:rPr>
              <w:t>火灾</w:t>
            </w:r>
            <w:r>
              <w:rPr>
                <w:rFonts w:hint="eastAsia" w:asciiTheme="minorEastAsia" w:hAnsiTheme="minorEastAsia" w:eastAsiaTheme="minorEastAsia"/>
                <w:bCs/>
                <w:iCs/>
                <w:highlight w:val="none"/>
              </w:rPr>
              <w:t>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sz w:val="20"/>
                <w:szCs w:val="20"/>
                <w:highlight w:val="none"/>
              </w:rPr>
            </w:pPr>
            <w:r>
              <w:rPr>
                <w:rFonts w:hint="eastAsia"/>
                <w:b/>
                <w:sz w:val="20"/>
                <w:szCs w:val="20"/>
                <w:highlight w:val="none"/>
              </w:rPr>
              <w:t>10. 对特种设备的维护; （适用时）</w:t>
            </w:r>
          </w:p>
          <w:p>
            <w:pPr>
              <w:spacing w:line="400" w:lineRule="exact"/>
              <w:rPr>
                <w:b/>
                <w:sz w:val="20"/>
                <w:szCs w:val="20"/>
                <w:highlight w:val="none"/>
              </w:rPr>
            </w:pPr>
            <w:r>
              <w:rPr>
                <w:rFonts w:hint="eastAsia"/>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sz w:val="20"/>
                <w:szCs w:val="20"/>
                <w:highlight w:val="none"/>
              </w:rPr>
            </w:pPr>
            <w:r>
              <w:rPr>
                <w:rFonts w:hint="eastAsia"/>
                <w:b/>
                <w:sz w:val="20"/>
                <w:szCs w:val="20"/>
                <w:highlight w:val="none"/>
              </w:rPr>
              <w:t>11 .对危险化学品销售、使用、储存、运输处置，规定的执行力度(必要时); （适用时）</w:t>
            </w:r>
          </w:p>
          <w:p>
            <w:pPr>
              <w:spacing w:line="240" w:lineRule="exact"/>
              <w:rPr>
                <w:sz w:val="20"/>
                <w:szCs w:val="20"/>
                <w:highlight w:val="none"/>
              </w:rPr>
            </w:pPr>
            <w:r>
              <w:rPr>
                <w:rFonts w:hint="eastAsia"/>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jc w:val="center"/>
        </w:trPr>
        <w:tc>
          <w:tcPr>
            <w:tcW w:w="720" w:type="dxa"/>
            <w:vMerge w:val="restart"/>
            <w:textDirection w:val="tbRlV"/>
            <w:vAlign w:val="center"/>
          </w:tcPr>
          <w:p>
            <w:pPr>
              <w:spacing w:line="240" w:lineRule="exact"/>
              <w:ind w:left="113" w:right="113"/>
              <w:jc w:val="center"/>
              <w:rPr>
                <w:b/>
                <w:color w:val="000000" w:themeColor="text1"/>
                <w:szCs w:val="21"/>
                <w:highlight w:val="none"/>
              </w:rPr>
            </w:pPr>
            <w:r>
              <w:rPr>
                <w:rFonts w:hint="eastAsia"/>
                <w:b/>
                <w:color w:val="000000" w:themeColor="text1"/>
                <w:szCs w:val="21"/>
                <w:highlight w:val="none"/>
              </w:rPr>
              <w:t>(四)监视测量方面</w:t>
            </w: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1. .对质量/环境/职业健康安全目标指标进行定期监测/检查情况</w:t>
            </w:r>
            <w:r>
              <w:rPr>
                <w:rFonts w:hint="eastAsia"/>
                <w:b/>
                <w:sz w:val="20"/>
                <w:szCs w:val="20"/>
                <w:highlight w:val="none"/>
              </w:rPr>
              <w:t>（适用时）</w:t>
            </w:r>
          </w:p>
          <w:p>
            <w:pPr>
              <w:spacing w:line="240" w:lineRule="exact"/>
              <w:ind w:firstLine="525" w:firstLineChars="250"/>
              <w:rPr>
                <w:b/>
                <w:color w:val="000000" w:themeColor="text1"/>
                <w:sz w:val="20"/>
                <w:szCs w:val="20"/>
                <w:highlight w:val="none"/>
              </w:rPr>
            </w:pPr>
            <w:r>
              <w:rPr>
                <w:rFonts w:hint="eastAsia" w:ascii="宋体" w:hAnsi="宋体" w:cs="宋体"/>
                <w:color w:val="000000"/>
                <w:szCs w:val="21"/>
                <w:highlight w:val="none"/>
              </w:rPr>
              <w:t>公司制定、发布了总体目标并分解到相关职能部门和层次，规定了目标值、计算方法、责任部门、检查人、考核频次等。同时，环境目标得到沟通和监视评价，通过数据的汇总统计、描述性统计等方法对目标进行了测量，总体已达到或超过了规定的目标值。通过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9月-2021年2月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05" w:leftChars="50" w:firstLine="315" w:firstLineChars="150"/>
              <w:rPr>
                <w:b/>
                <w:color w:val="000000" w:themeColor="text1"/>
                <w:sz w:val="20"/>
                <w:szCs w:val="20"/>
                <w:highlight w:val="none"/>
              </w:rPr>
            </w:pP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3. 内审（包括内审策划审核方案中考虑拟审核的过程和区域的状况和重要性）</w:t>
            </w:r>
          </w:p>
          <w:p>
            <w:pPr>
              <w:spacing w:line="240" w:lineRule="exact"/>
              <w:ind w:firstLine="420" w:firstLineChars="200"/>
              <w:rPr>
                <w:b/>
                <w:color w:val="FF0000"/>
                <w:sz w:val="20"/>
                <w:szCs w:val="20"/>
                <w:highlight w:val="none"/>
              </w:rPr>
            </w:pPr>
            <w:r>
              <w:rPr>
                <w:rFonts w:hint="eastAsia" w:ascii="宋体" w:hAnsi="宋体"/>
                <w:szCs w:val="21"/>
                <w:highlight w:val="none"/>
              </w:rPr>
              <w:t>建立有《内部审核控制程序》，规定了内审频次一年一次，内审时间：</w:t>
            </w:r>
            <w:r>
              <w:rPr>
                <w:rFonts w:hint="eastAsia" w:ascii="宋体" w:hAnsi="宋体" w:cs="Times New Roman"/>
                <w:szCs w:val="21"/>
                <w:highlight w:val="none"/>
                <w:lang w:val="en-US" w:eastAsia="zh-CN"/>
              </w:rPr>
              <w:t>2021年02月24日</w:t>
            </w:r>
            <w:r>
              <w:rPr>
                <w:rFonts w:hint="eastAsia" w:ascii="宋体" w:hAnsi="宋体"/>
                <w:szCs w:val="21"/>
                <w:highlight w:val="none"/>
              </w:rPr>
              <w:t>，拟定了审核实施表，明确了内审范围，内审人员经培训合格上岗，能力满足要求，未出现审核本部门情况，内审不符合项1项，</w:t>
            </w:r>
            <w:r>
              <w:rPr>
                <w:rFonts w:hint="eastAsia" w:ascii="宋体" w:hAnsi="宋体" w:cs="宋体"/>
                <w:szCs w:val="21"/>
                <w:highlight w:val="none"/>
              </w:rPr>
              <w:t>涉及</w:t>
            </w:r>
            <w:r>
              <w:rPr>
                <w:rFonts w:hint="eastAsia" w:ascii="宋体" w:hAnsi="宋体" w:cs="宋体"/>
                <w:szCs w:val="21"/>
                <w:highlight w:val="none"/>
                <w:lang w:val="en-US" w:eastAsia="zh-CN"/>
              </w:rPr>
              <w:t>综合部不符合E8.1条款，办公室卫生不整洁，地面未及时处理</w:t>
            </w:r>
            <w:r>
              <w:rPr>
                <w:rFonts w:hint="eastAsia" w:ascii="宋体" w:hAnsi="宋体"/>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4.管理评审（管理评审体系变更需求，纠正和预防措施、体系有效性等）</w:t>
            </w:r>
          </w:p>
          <w:p>
            <w:pPr>
              <w:spacing w:line="240" w:lineRule="exact"/>
              <w:ind w:firstLine="420" w:firstLineChars="200"/>
              <w:rPr>
                <w:b/>
                <w:color w:val="000000" w:themeColor="text1"/>
                <w:sz w:val="20"/>
                <w:szCs w:val="20"/>
                <w:highlight w:val="none"/>
              </w:rPr>
            </w:pPr>
            <w:r>
              <w:rPr>
                <w:rFonts w:hint="eastAsia" w:ascii="宋体" w:hAnsi="宋体" w:cs="宋体"/>
                <w:szCs w:val="21"/>
                <w:highlight w:val="none"/>
              </w:rPr>
              <w:t>管理评审频次为一年一次、本次管理评审于</w:t>
            </w:r>
            <w:r>
              <w:rPr>
                <w:rFonts w:hint="eastAsia" w:ascii="宋体" w:hAnsi="宋体" w:cs="Times New Roman"/>
                <w:szCs w:val="21"/>
                <w:highlight w:val="none"/>
                <w:lang w:eastAsia="zh-CN"/>
              </w:rPr>
              <w:t>2021年</w:t>
            </w:r>
            <w:r>
              <w:rPr>
                <w:rFonts w:hint="eastAsia" w:ascii="宋体" w:hAnsi="宋体" w:cs="Times New Roman"/>
                <w:szCs w:val="21"/>
                <w:highlight w:val="none"/>
                <w:lang w:val="en-US" w:eastAsia="zh-CN"/>
              </w:rPr>
              <w:t>03</w:t>
            </w:r>
            <w:r>
              <w:rPr>
                <w:rFonts w:hint="eastAsia" w:ascii="宋体" w:hAnsi="宋体" w:cs="Times New Roman"/>
                <w:szCs w:val="21"/>
                <w:highlight w:val="none"/>
                <w:lang w:eastAsia="zh-CN"/>
              </w:rPr>
              <w:t>月</w:t>
            </w:r>
            <w:r>
              <w:rPr>
                <w:rFonts w:hint="eastAsia" w:ascii="宋体" w:hAnsi="宋体" w:cs="Times New Roman"/>
                <w:szCs w:val="21"/>
                <w:highlight w:val="none"/>
                <w:lang w:val="en-US" w:eastAsia="zh-CN"/>
              </w:rPr>
              <w:t>08</w:t>
            </w:r>
            <w:r>
              <w:rPr>
                <w:rFonts w:hint="eastAsia" w:ascii="宋体" w:hAnsi="宋体" w:cs="Times New Roman"/>
                <w:szCs w:val="21"/>
                <w:highlight w:val="none"/>
              </w:rPr>
              <w:t>日由总经理</w:t>
            </w:r>
            <w:r>
              <w:rPr>
                <w:rFonts w:hint="eastAsia" w:ascii="宋体" w:hAnsi="宋体" w:cs="宋体"/>
                <w:szCs w:val="21"/>
                <w:highlight w:val="none"/>
              </w:rPr>
              <w:t>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5.  EMS是否按规定对主要污染物（污水、废气、噪声、废渣等）及排放实施了例行的监视或测量，结果是否满足相关要求？</w:t>
            </w:r>
          </w:p>
          <w:p>
            <w:pPr>
              <w:spacing w:line="240" w:lineRule="exact"/>
              <w:rPr>
                <w:sz w:val="20"/>
                <w:szCs w:val="20"/>
                <w:highlight w:val="none"/>
              </w:rPr>
            </w:pPr>
            <w:r>
              <w:rPr>
                <w:rFonts w:hint="eastAsia"/>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6.  </w:t>
            </w:r>
            <w:r>
              <w:rPr>
                <w:b/>
                <w:color w:val="000000" w:themeColor="text1"/>
                <w:sz w:val="20"/>
                <w:szCs w:val="20"/>
                <w:highlight w:val="none"/>
              </w:rPr>
              <w:t>EMS</w:t>
            </w:r>
            <w:r>
              <w:rPr>
                <w:rFonts w:hint="eastAsia"/>
                <w:b/>
                <w:color w:val="000000" w:themeColor="text1"/>
                <w:sz w:val="20"/>
                <w:szCs w:val="20"/>
                <w:highlight w:val="none"/>
              </w:rPr>
              <w:t xml:space="preserve">国家/地方环保部门监测结果、新改扩建项目符合环评报告、三同时验收报告要求情况及措施 </w:t>
            </w:r>
          </w:p>
          <w:p>
            <w:pPr>
              <w:spacing w:line="240" w:lineRule="exact"/>
              <w:rPr>
                <w:b/>
                <w:sz w:val="20"/>
                <w:szCs w:val="20"/>
                <w:highlight w:val="none"/>
              </w:rPr>
            </w:pPr>
            <w:r>
              <w:rPr>
                <w:rFonts w:hint="eastAsia"/>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b/>
                <w:color w:val="000000" w:themeColor="text1"/>
                <w:sz w:val="20"/>
                <w:szCs w:val="20"/>
                <w:highlight w:val="none"/>
              </w:rPr>
            </w:pPr>
            <w:r>
              <w:rPr>
                <w:rFonts w:hint="eastAsia"/>
                <w:b/>
                <w:color w:val="000000" w:themeColor="text1"/>
                <w:sz w:val="20"/>
                <w:szCs w:val="20"/>
                <w:highlight w:val="none"/>
              </w:rPr>
              <w:t>7. OHSMS是否按规定对职业健康安全项目进行定期测量，结果是否满足相关要求：</w:t>
            </w:r>
          </w:p>
          <w:p>
            <w:pPr>
              <w:spacing w:line="240" w:lineRule="exact"/>
              <w:rPr>
                <w:b/>
                <w:sz w:val="20"/>
                <w:szCs w:val="20"/>
                <w:highlight w:val="none"/>
              </w:rPr>
            </w:pPr>
            <w:r>
              <w:rPr>
                <w:rFonts w:hint="eastAsia"/>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8.OHSMS国家/地方职业健康安全部门监督检查情况及措施</w:t>
            </w:r>
          </w:p>
          <w:p>
            <w:pPr>
              <w:spacing w:line="240" w:lineRule="exact"/>
              <w:rPr>
                <w:b/>
                <w:sz w:val="20"/>
                <w:szCs w:val="20"/>
                <w:highlight w:val="none"/>
              </w:rPr>
            </w:pPr>
            <w:r>
              <w:rPr>
                <w:rFonts w:hint="eastAsia"/>
                <w:b/>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highlight w:val="none"/>
              </w:rPr>
            </w:pPr>
          </w:p>
        </w:tc>
        <w:tc>
          <w:tcPr>
            <w:tcW w:w="9198" w:type="dxa"/>
            <w:tcBorders>
              <w:bottom w:val="single" w:color="auto" w:sz="4" w:space="0"/>
            </w:tcBorders>
          </w:tcPr>
          <w:p>
            <w:pPr>
              <w:widowControl/>
              <w:spacing w:line="240" w:lineRule="exact"/>
              <w:rPr>
                <w:b/>
                <w:sz w:val="20"/>
                <w:szCs w:val="20"/>
                <w:highlight w:val="none"/>
              </w:rPr>
            </w:pPr>
            <w:r>
              <w:rPr>
                <w:rFonts w:hint="eastAsia"/>
                <w:b/>
                <w:sz w:val="20"/>
                <w:szCs w:val="20"/>
                <w:highlight w:val="none"/>
              </w:rPr>
              <w:t>9. 其他能够标明组织绩效、信誉的证据/信息：</w:t>
            </w:r>
          </w:p>
          <w:p>
            <w:pPr>
              <w:widowControl/>
              <w:spacing w:line="240" w:lineRule="exact"/>
              <w:rPr>
                <w:b/>
                <w:color w:val="FF0000"/>
                <w:sz w:val="20"/>
                <w:szCs w:val="20"/>
                <w:highlight w:val="none"/>
              </w:rPr>
            </w:pPr>
            <w:r>
              <w:rPr>
                <w:rFonts w:hint="eastAsia"/>
                <w:b/>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highlight w:val="none"/>
              </w:rPr>
            </w:pPr>
            <w:r>
              <w:rPr>
                <w:rFonts w:hint="eastAsia"/>
                <w:b/>
                <w:color w:val="000000" w:themeColor="text1"/>
                <w:sz w:val="20"/>
                <w:highlight w:val="none"/>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highlight w:val="none"/>
              </w:rPr>
            </w:pPr>
            <w:r>
              <w:rPr>
                <w:rFonts w:hint="eastAsia"/>
                <w:b/>
                <w:color w:val="000000" w:themeColor="text1"/>
                <w:sz w:val="20"/>
                <w:szCs w:val="20"/>
                <w:highlight w:val="none"/>
              </w:rPr>
              <w:t>1 纠正/预防措施的实施及效果</w:t>
            </w:r>
            <w:r>
              <w:rPr>
                <w:rFonts w:hint="eastAsia"/>
                <w:b/>
                <w:color w:val="000000" w:themeColor="text1"/>
                <w:spacing w:val="-8"/>
                <w:sz w:val="20"/>
                <w:szCs w:val="20"/>
                <w:highlight w:val="none"/>
              </w:rPr>
              <w:t>;</w:t>
            </w:r>
          </w:p>
          <w:p>
            <w:pPr>
              <w:spacing w:line="400" w:lineRule="exact"/>
              <w:ind w:firstLine="420" w:firstLineChars="200"/>
              <w:rPr>
                <w:rFonts w:ascii="宋体" w:hAnsi="宋体"/>
                <w:szCs w:val="21"/>
                <w:highlight w:val="none"/>
              </w:rPr>
            </w:pPr>
            <w:r>
              <w:rPr>
                <w:rFonts w:hint="eastAsia" w:ascii="宋体" w:hAnsi="宋体" w:cs="宋体"/>
                <w:color w:val="000000" w:themeColor="text1"/>
                <w:highlight w:val="none"/>
              </w:rPr>
              <w:t>公司明确通过对内、外审核结果、管理评审输出、监测和测量等活动中识别出</w:t>
            </w:r>
            <w:r>
              <w:rPr>
                <w:rFonts w:hint="eastAsia" w:ascii="宋体" w:hAnsi="宋体"/>
                <w:color w:val="000000" w:themeColor="text1"/>
                <w:highlight w:val="none"/>
              </w:rPr>
              <w:t>在产品/服务、过程、管理体系等方面</w:t>
            </w:r>
            <w:r>
              <w:rPr>
                <w:rFonts w:hint="eastAsia" w:ascii="宋体" w:hAnsi="宋体" w:cs="宋体"/>
                <w:color w:val="000000" w:themeColor="text1"/>
                <w:highlight w:val="none"/>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highlight w:val="none"/>
              </w:rPr>
              <w:t>纠正措施的有效性需要改善。</w:t>
            </w:r>
          </w:p>
          <w:p>
            <w:pPr>
              <w:spacing w:line="240" w:lineRule="exact"/>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highlight w:val="none"/>
              </w:rPr>
            </w:pPr>
            <w:r>
              <w:rPr>
                <w:rFonts w:hint="eastAsia"/>
                <w:b/>
                <w:color w:val="000000" w:themeColor="text1"/>
                <w:spacing w:val="-20"/>
                <w:sz w:val="20"/>
                <w:szCs w:val="20"/>
                <w:highlight w:val="none"/>
              </w:rPr>
              <w:t>2（近一年）重大事故、顾客/相关方投诉：：</w:t>
            </w:r>
          </w:p>
          <w:p>
            <w:pPr>
              <w:spacing w:line="240" w:lineRule="exact"/>
              <w:rPr>
                <w:b/>
                <w:color w:val="000000" w:themeColor="text1"/>
                <w:sz w:val="20"/>
                <w:szCs w:val="20"/>
                <w:highlight w:val="none"/>
              </w:rPr>
            </w:pPr>
            <w:r>
              <w:rPr>
                <w:rFonts w:hint="eastAsia"/>
                <w:b/>
                <w:color w:val="000000" w:themeColor="text1"/>
                <w:spacing w:val="-20"/>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highlight w:val="none"/>
              </w:rPr>
            </w:pPr>
            <w:r>
              <w:rPr>
                <w:rFonts w:hint="eastAsia"/>
                <w:b/>
                <w:color w:val="000000" w:themeColor="text1"/>
                <w:sz w:val="20"/>
                <w:szCs w:val="20"/>
                <w:highlight w:val="none"/>
              </w:rPr>
              <w:t>3. 一阶段提出问题的整改情况?</w:t>
            </w:r>
          </w:p>
          <w:p>
            <w:pPr>
              <w:spacing w:line="240" w:lineRule="exact"/>
              <w:rPr>
                <w:rFonts w:hint="default" w:eastAsia="宋体"/>
                <w:b/>
                <w:color w:val="000000" w:themeColor="text1"/>
                <w:spacing w:val="-20"/>
                <w:sz w:val="20"/>
                <w:szCs w:val="20"/>
                <w:highlight w:val="none"/>
                <w:lang w:val="en-US" w:eastAsia="zh-CN"/>
              </w:rPr>
            </w:pPr>
            <w:r>
              <w:rPr>
                <w:rFonts w:hint="eastAsia" w:ascii="宋体" w:hAnsi="宋体" w:cs="Times New Roman"/>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highlight w:val="none"/>
              </w:rPr>
            </w:pPr>
            <w:r>
              <w:rPr>
                <w:rFonts w:hint="eastAsia"/>
                <w:b/>
                <w:color w:val="000000" w:themeColor="text1"/>
                <w:sz w:val="20"/>
                <w:szCs w:val="20"/>
                <w:highlight w:val="none"/>
              </w:rPr>
              <w:t>4.创新情况</w:t>
            </w:r>
          </w:p>
          <w:p>
            <w:pPr>
              <w:spacing w:line="240" w:lineRule="exact"/>
              <w:rPr>
                <w:b/>
                <w:color w:val="000000" w:themeColor="text1"/>
                <w:sz w:val="20"/>
                <w:szCs w:val="20"/>
                <w:highlight w:val="none"/>
              </w:rPr>
            </w:pPr>
            <w:r>
              <w:rPr>
                <w:rFonts w:hint="eastAsia"/>
                <w:b/>
                <w:color w:val="000000" w:themeColor="text1"/>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highlight w:val="none"/>
              </w:rPr>
            </w:pPr>
            <w:r>
              <w:rPr>
                <w:rFonts w:hint="eastAsia"/>
                <w:b/>
                <w:color w:val="000000" w:themeColor="text1"/>
                <w:szCs w:val="21"/>
                <w:highlight w:val="none"/>
              </w:rPr>
              <w:t>5. 上次不符合的整改情况（再认证填写）</w:t>
            </w:r>
          </w:p>
          <w:p>
            <w:pPr>
              <w:spacing w:line="240" w:lineRule="exact"/>
              <w:rPr>
                <w:b/>
                <w:color w:val="000000" w:themeColor="text1"/>
                <w:szCs w:val="21"/>
                <w:highlight w:val="none"/>
              </w:rPr>
            </w:pPr>
            <w:r>
              <w:rPr>
                <w:rFonts w:hint="eastAsia"/>
                <w:b/>
                <w:color w:val="000000" w:themeColor="text1"/>
                <w:szCs w:val="21"/>
                <w:highlight w:val="none"/>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2"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sz w:val="20"/>
              </w:rPr>
              <w:t>油田助剂的销售所涉及场所的相关环境管理活动</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51664384" behindDoc="0" locked="0" layoutInCell="1" allowOverlap="1">
            <wp:simplePos x="0" y="0"/>
            <wp:positionH relativeFrom="column">
              <wp:posOffset>1715135</wp:posOffset>
            </wp:positionH>
            <wp:positionV relativeFrom="paragraph">
              <wp:posOffset>354965</wp:posOffset>
            </wp:positionV>
            <wp:extent cx="412750" cy="289560"/>
            <wp:effectExtent l="0" t="0" r="6350" b="15240"/>
            <wp:wrapNone/>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pic:cNvPicPr>
                      <a:picLocks noChangeAspect="1"/>
                    </pic:cNvPicPr>
                  </pic:nvPicPr>
                  <pic:blipFill>
                    <a:blip r:embed="rId6"/>
                    <a:stretch>
                      <a:fillRect/>
                    </a:stretch>
                  </pic:blipFill>
                  <pic:spPr>
                    <a:xfrm>
                      <a:off x="0" y="0"/>
                      <a:ext cx="412750" cy="28956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3" w:leftChars="-32" w:hanging="54" w:hangingChars="26"/>
        <w:rPr>
          <w:b/>
          <w:color w:val="000000" w:themeColor="text1"/>
        </w:rPr>
      </w:pPr>
      <w:r>
        <w:drawing>
          <wp:anchor distT="0" distB="0" distL="114300" distR="114300" simplePos="0" relativeHeight="251663360" behindDoc="0" locked="0" layoutInCell="1" allowOverlap="1">
            <wp:simplePos x="0" y="0"/>
            <wp:positionH relativeFrom="column">
              <wp:posOffset>1698625</wp:posOffset>
            </wp:positionH>
            <wp:positionV relativeFrom="paragraph">
              <wp:posOffset>378460</wp:posOffset>
            </wp:positionV>
            <wp:extent cx="670560" cy="270510"/>
            <wp:effectExtent l="0" t="0" r="15240" b="15240"/>
            <wp:wrapNone/>
            <wp:docPr id="3"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24309\AppData\Local\Temp\WeChat Files\5312dc77a33e48f7e27afd135593673.png"/>
                    <pic:cNvPicPr>
                      <a:picLocks noChangeAspect="1" noChangeArrowheads="1"/>
                    </pic:cNvPicPr>
                  </pic:nvPicPr>
                  <pic:blipFill>
                    <a:blip r:embed="rId7" cstate="print"/>
                    <a:srcRect/>
                    <a:stretch>
                      <a:fillRect/>
                    </a:stretch>
                  </pic:blipFill>
                  <pic:spPr>
                    <a:xfrm>
                      <a:off x="0" y="0"/>
                      <a:ext cx="670560" cy="270510"/>
                    </a:xfrm>
                    <a:prstGeom prst="rect">
                      <a:avLst/>
                    </a:prstGeom>
                    <a:noFill/>
                    <a:ln w="9525">
                      <a:noFill/>
                      <a:miter lim="800000"/>
                      <a:headEnd/>
                      <a:tailEnd/>
                    </a:ln>
                  </pic:spPr>
                </pic:pic>
              </a:graphicData>
            </a:graphic>
          </wp:anchor>
        </w:drawing>
      </w: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4554" w:firstLineChars="2160"/>
        <w:rPr>
          <w:rFonts w:hint="default" w:eastAsia="宋体"/>
          <w:b/>
          <w:color w:val="000000" w:themeColor="text1"/>
          <w:sz w:val="16"/>
          <w:szCs w:val="16"/>
          <w:lang w:val="en-US" w:eastAsia="zh-CN"/>
        </w:rPr>
      </w:pPr>
      <w:r>
        <w:rPr>
          <w:rFonts w:hint="eastAsia"/>
          <w:b/>
          <w:color w:val="000000" w:themeColor="text1"/>
        </w:rPr>
        <w:t>日期</w:t>
      </w:r>
      <w:r>
        <w:rPr>
          <w:rFonts w:hint="eastAsia" w:asciiTheme="minorEastAsia" w:hAnsiTheme="minorEastAsia" w:eastAsiaTheme="minorEastAsia"/>
          <w:b/>
          <w:color w:val="000000" w:themeColor="text1"/>
          <w:lang w:eastAsia="zh-CN"/>
        </w:rPr>
        <w:t>：</w:t>
      </w:r>
      <w:r>
        <w:rPr>
          <w:rFonts w:hint="eastAsia" w:asciiTheme="minorEastAsia" w:hAnsiTheme="minorEastAsia" w:eastAsiaTheme="minorEastAsia"/>
          <w:b/>
          <w:color w:val="000000" w:themeColor="text1"/>
          <w:lang w:val="en-US" w:eastAsia="zh-CN"/>
        </w:rPr>
        <w:t>2021年03月30日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drawing>
          <wp:anchor distT="0" distB="0" distL="114300" distR="114300" simplePos="0" relativeHeight="251665408" behindDoc="0" locked="0" layoutInCell="1" allowOverlap="1">
            <wp:simplePos x="0" y="0"/>
            <wp:positionH relativeFrom="column">
              <wp:posOffset>770255</wp:posOffset>
            </wp:positionH>
            <wp:positionV relativeFrom="paragraph">
              <wp:posOffset>121920</wp:posOffset>
            </wp:positionV>
            <wp:extent cx="412750" cy="289560"/>
            <wp:effectExtent l="0" t="0" r="6350" b="15240"/>
            <wp:wrapNone/>
            <wp:docPr id="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pic:cNvPicPr>
                      <a:picLocks noChangeAspect="1"/>
                    </pic:cNvPicPr>
                  </pic:nvPicPr>
                  <pic:blipFill>
                    <a:blip r:embed="rId6"/>
                    <a:stretch>
                      <a:fillRect/>
                    </a:stretch>
                  </pic:blipFill>
                  <pic:spPr>
                    <a:xfrm>
                      <a:off x="0" y="0"/>
                      <a:ext cx="412750" cy="289560"/>
                    </a:xfrm>
                    <a:prstGeom prst="rect">
                      <a:avLst/>
                    </a:prstGeom>
                    <a:noFill/>
                    <a:ln>
                      <a:noFill/>
                    </a:ln>
                  </pic:spPr>
                </pic:pic>
              </a:graphicData>
            </a:graphic>
          </wp:anchor>
        </w:drawing>
      </w:r>
      <w:r>
        <w:rPr>
          <w:rFonts w:hint="eastAsia"/>
          <w:b/>
          <w:color w:val="000000" w:themeColor="text1"/>
          <w:szCs w:val="21"/>
        </w:rPr>
        <w:t xml:space="preserve">组长签字:                            </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0"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C916C8"/>
    <w:rsid w:val="0302719A"/>
    <w:rsid w:val="039D79CA"/>
    <w:rsid w:val="04512CA1"/>
    <w:rsid w:val="04B928E1"/>
    <w:rsid w:val="05115EC8"/>
    <w:rsid w:val="07306D84"/>
    <w:rsid w:val="080A41BF"/>
    <w:rsid w:val="083A4933"/>
    <w:rsid w:val="0AF279F0"/>
    <w:rsid w:val="0C3728B7"/>
    <w:rsid w:val="0E751E5B"/>
    <w:rsid w:val="0FB70506"/>
    <w:rsid w:val="1052364F"/>
    <w:rsid w:val="1386172C"/>
    <w:rsid w:val="13A83262"/>
    <w:rsid w:val="16950174"/>
    <w:rsid w:val="17B57132"/>
    <w:rsid w:val="19155DEF"/>
    <w:rsid w:val="1B5A72A8"/>
    <w:rsid w:val="20E1266D"/>
    <w:rsid w:val="230A796A"/>
    <w:rsid w:val="23237A8A"/>
    <w:rsid w:val="23630576"/>
    <w:rsid w:val="23EE435E"/>
    <w:rsid w:val="23F640A7"/>
    <w:rsid w:val="25B21764"/>
    <w:rsid w:val="262D2D66"/>
    <w:rsid w:val="291D4A71"/>
    <w:rsid w:val="2A744EBC"/>
    <w:rsid w:val="2FB05C1D"/>
    <w:rsid w:val="2FC44181"/>
    <w:rsid w:val="30E26F6B"/>
    <w:rsid w:val="31D357CD"/>
    <w:rsid w:val="32E94C8F"/>
    <w:rsid w:val="35514F69"/>
    <w:rsid w:val="357C77BD"/>
    <w:rsid w:val="35877274"/>
    <w:rsid w:val="358C227D"/>
    <w:rsid w:val="3A9B3267"/>
    <w:rsid w:val="3FBC0432"/>
    <w:rsid w:val="400B223B"/>
    <w:rsid w:val="40702338"/>
    <w:rsid w:val="433E733C"/>
    <w:rsid w:val="47965A91"/>
    <w:rsid w:val="47E0263F"/>
    <w:rsid w:val="48441353"/>
    <w:rsid w:val="4CBB359A"/>
    <w:rsid w:val="4EFB2342"/>
    <w:rsid w:val="4F325D5C"/>
    <w:rsid w:val="4F391746"/>
    <w:rsid w:val="503F71B2"/>
    <w:rsid w:val="55CA1FC1"/>
    <w:rsid w:val="56000EF9"/>
    <w:rsid w:val="58EB13D2"/>
    <w:rsid w:val="59E43F0F"/>
    <w:rsid w:val="5D631A0C"/>
    <w:rsid w:val="5EE440E7"/>
    <w:rsid w:val="5EFA3A2D"/>
    <w:rsid w:val="615823AE"/>
    <w:rsid w:val="61DC0324"/>
    <w:rsid w:val="644B1642"/>
    <w:rsid w:val="664332AD"/>
    <w:rsid w:val="676E4CEB"/>
    <w:rsid w:val="67A013C9"/>
    <w:rsid w:val="6CBE4157"/>
    <w:rsid w:val="6F0624AF"/>
    <w:rsid w:val="6FB96E7C"/>
    <w:rsid w:val="7155309A"/>
    <w:rsid w:val="71797194"/>
    <w:rsid w:val="719D3187"/>
    <w:rsid w:val="72891005"/>
    <w:rsid w:val="74765EA0"/>
    <w:rsid w:val="750147F5"/>
    <w:rsid w:val="76036488"/>
    <w:rsid w:val="76B95294"/>
    <w:rsid w:val="795E26AF"/>
    <w:rsid w:val="7B201CA6"/>
    <w:rsid w:val="7BD9425D"/>
    <w:rsid w:val="7C994447"/>
    <w:rsid w:val="7E8F4F3E"/>
    <w:rsid w:val="7F0131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2</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2021-03-30T04:53:32Z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3EB7C962943448918C026A70BA7F7DA9</vt:lpwstr>
  </property>
</Properties>
</file>