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121"/>
        <w:gridCol w:w="7"/>
        <w:gridCol w:w="187"/>
        <w:gridCol w:w="90"/>
        <w:gridCol w:w="690"/>
        <w:gridCol w:w="500"/>
        <w:gridCol w:w="2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  <w:gridCol w:w="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重庆联大仪表有限公司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重庆市渝北区回兴街道翠屏二巷18号6幢2-1、3-1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李小雪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18323101772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57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李小雪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5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0248-2019-Q-2021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55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99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</w:rPr>
              <w:t>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04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许可范围内的LDYB智能靶式流量计的生产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19.05.01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4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00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2021年03月30日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2021年03月30日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22" w:hRule="atLeast"/>
        </w:trPr>
        <w:tc>
          <w:tcPr>
            <w:tcW w:w="148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70" w:hRule="atLeast"/>
        </w:trPr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19.05.01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22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01" w:hRule="atLeast"/>
        </w:trPr>
        <w:tc>
          <w:tcPr>
            <w:tcW w:w="1395" w:type="dxa"/>
            <w:gridSpan w:val="4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2021年03月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59" w:hRule="atLeast"/>
          <w:jc w:val="center"/>
        </w:trPr>
        <w:tc>
          <w:tcPr>
            <w:tcW w:w="2595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90" w:hRule="atLeast"/>
          <w:jc w:val="center"/>
        </w:trPr>
        <w:tc>
          <w:tcPr>
            <w:tcW w:w="2595" w:type="dxa"/>
            <w:gridSpan w:val="6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72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305" w:hRule="atLeast"/>
          <w:jc w:val="center"/>
        </w:trPr>
        <w:tc>
          <w:tcPr>
            <w:tcW w:w="112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03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8：00-8：30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9.3管理评审；10.1改进 总则；10.3持续改进；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（上次不符合发生在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7.1,5条款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5.3组织的角色、职责和权限；6.2质量目标及其实现的策划；7.1.2人员；7.1.3基础设施；7.1.4过程运行环境；7.1.6组织知识；7.2能力；7.3意识；7.4沟通；7.5文件化信息；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供销部: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8.5.3顾客或外部供方的财产；8.5.5交付后的活动；9.1.2顾客满意；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28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1405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bookmarkStart w:id="19" w:name="_GoBack"/>
            <w:bookmarkEnd w:id="19"/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9.1.1监测、分析和评价总则；10.2不合格和纠正措施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764" w:hRule="atLeast"/>
          <w:jc w:val="center"/>
        </w:trPr>
        <w:tc>
          <w:tcPr>
            <w:tcW w:w="11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BB1A19"/>
    <w:rsid w:val="30FF20A7"/>
    <w:rsid w:val="65173ABC"/>
    <w:rsid w:val="704B2188"/>
    <w:rsid w:val="7F5121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2021-03-26T13:43:44Z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D6C5FC6D126640D697FCA10B82441B9F</vt:lpwstr>
  </property>
</Properties>
</file>