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spacing w:line="360" w:lineRule="auto"/>
        <w:jc w:val="right"/>
        <w:rPr>
          <w:rFonts w:ascii="宋体" w:hAnsi="宋体"/>
          <w:szCs w:val="21"/>
        </w:rPr>
      </w:pPr>
      <w:r>
        <w:rPr>
          <w:rFonts w:ascii="宋体" w:hAnsi="宋体"/>
          <w:szCs w:val="21"/>
        </w:rPr>
        <w:t>编</w:t>
      </w:r>
      <w:r>
        <w:rPr>
          <w:rFonts w:hint="eastAsia" w:ascii="宋体" w:hAnsi="宋体"/>
          <w:szCs w:val="21"/>
        </w:rPr>
        <w:t xml:space="preserve">     </w:t>
      </w:r>
      <w:r>
        <w:rPr>
          <w:rFonts w:ascii="宋体" w:hAnsi="宋体"/>
          <w:szCs w:val="21"/>
        </w:rPr>
        <w:t>号：</w:t>
      </w:r>
      <w:r>
        <w:rPr>
          <w:rFonts w:hint="eastAsia" w:ascii="宋体" w:hAnsi="宋体"/>
          <w:szCs w:val="21"/>
          <w:u w:val="single"/>
        </w:rPr>
        <w:t>0243-2021</w:t>
      </w:r>
    </w:p>
    <w:p>
      <w:pPr>
        <w:jc w:val="center"/>
        <w:rPr>
          <w:rFonts w:ascii="宋体" w:hAnsi="宋体"/>
          <w:b/>
          <w:color w:val="000000"/>
          <w:sz w:val="30"/>
          <w:szCs w:val="30"/>
        </w:rPr>
      </w:pPr>
      <w:r>
        <w:rPr>
          <w:rFonts w:hint="eastAsia" w:ascii="宋体" w:hAnsi="宋体"/>
          <w:b/>
          <w:color w:val="000000"/>
          <w:sz w:val="30"/>
          <w:szCs w:val="30"/>
        </w:rPr>
        <w:t>现场审核记录</w:t>
      </w:r>
    </w:p>
    <w:p>
      <w:pPr>
        <w:spacing w:line="360" w:lineRule="auto"/>
        <w:rPr>
          <w:sz w:val="24"/>
          <w:szCs w:val="24"/>
        </w:rPr>
      </w:pPr>
      <w:r>
        <w:rPr>
          <w:rFonts w:hint="eastAsia"/>
          <w:sz w:val="24"/>
          <w:szCs w:val="24"/>
        </w:rPr>
        <w:t>企业名称：</w:t>
      </w:r>
      <w:r>
        <w:rPr>
          <w:rFonts w:hint="eastAsia"/>
          <w:sz w:val="24"/>
          <w:szCs w:val="24"/>
          <w:u w:val="single"/>
        </w:rPr>
        <w:t xml:space="preserve"> </w:t>
      </w:r>
      <w:r>
        <w:rPr>
          <w:rFonts w:hint="eastAsia"/>
          <w:u w:val="single"/>
        </w:rPr>
        <w:t xml:space="preserve"> 淮安清江石油化工有限责任公司 </w:t>
      </w:r>
      <w:r>
        <w:rPr>
          <w:sz w:val="24"/>
          <w:szCs w:val="24"/>
        </w:rPr>
        <w:t xml:space="preserve">     </w:t>
      </w:r>
    </w:p>
    <w:p>
      <w:pPr>
        <w:spacing w:line="360" w:lineRule="auto"/>
        <w:ind w:firstLine="120" w:firstLineChars="50"/>
        <w:rPr>
          <w:sz w:val="24"/>
          <w:szCs w:val="24"/>
        </w:rPr>
      </w:pPr>
      <w:r>
        <w:rPr>
          <w:rFonts w:hint="eastAsia"/>
          <w:sz w:val="24"/>
          <w:szCs w:val="24"/>
        </w:rPr>
        <w:drawing>
          <wp:anchor distT="0" distB="0" distL="114300" distR="114300" simplePos="0" relativeHeight="251659264" behindDoc="0" locked="0" layoutInCell="1" allowOverlap="1">
            <wp:simplePos x="0" y="0"/>
            <wp:positionH relativeFrom="column">
              <wp:posOffset>1060450</wp:posOffset>
            </wp:positionH>
            <wp:positionV relativeFrom="paragraph">
              <wp:posOffset>95250</wp:posOffset>
            </wp:positionV>
            <wp:extent cx="628650" cy="368300"/>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28650" cy="368300"/>
                    </a:xfrm>
                    <a:prstGeom prst="rect">
                      <a:avLst/>
                    </a:prstGeom>
                    <a:noFill/>
                    <a:ln>
                      <a:noFill/>
                    </a:ln>
                  </pic:spPr>
                </pic:pic>
              </a:graphicData>
            </a:graphic>
          </wp:anchor>
        </w:drawing>
      </w:r>
      <w:r>
        <w:rPr>
          <w:rFonts w:hint="eastAsia"/>
          <w:sz w:val="24"/>
          <w:szCs w:val="24"/>
        </w:rPr>
        <w:t>审核员：                                      审核日期：2021年4月21日</w:t>
      </w:r>
      <w:r>
        <w:rPr>
          <w:rFonts w:hint="eastAsia" w:ascii="宋体" w:hAnsi="宋体"/>
          <w:sz w:val="24"/>
          <w:szCs w:val="24"/>
        </w:rPr>
        <w:t>～</w:t>
      </w:r>
      <w:r>
        <w:rPr>
          <w:rFonts w:hint="eastAsia"/>
          <w:sz w:val="24"/>
          <w:szCs w:val="24"/>
        </w:rPr>
        <w:t>4月23日</w:t>
      </w:r>
    </w:p>
    <w:tbl>
      <w:tblPr>
        <w:tblStyle w:val="6"/>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769"/>
        <w:gridCol w:w="1121"/>
        <w:gridCol w:w="3750"/>
        <w:gridCol w:w="2410"/>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26" w:type="dxa"/>
            <w:vAlign w:val="center"/>
          </w:tcPr>
          <w:p>
            <w:pPr>
              <w:spacing w:line="320" w:lineRule="exact"/>
              <w:jc w:val="center"/>
              <w:rPr>
                <w:sz w:val="24"/>
                <w:szCs w:val="24"/>
              </w:rPr>
            </w:pPr>
            <w:r>
              <w:rPr>
                <w:rFonts w:hint="eastAsia"/>
                <w:sz w:val="24"/>
                <w:szCs w:val="24"/>
              </w:rPr>
              <w:t>序号</w:t>
            </w:r>
          </w:p>
        </w:tc>
        <w:tc>
          <w:tcPr>
            <w:tcW w:w="1769" w:type="dxa"/>
            <w:vAlign w:val="center"/>
          </w:tcPr>
          <w:p>
            <w:pPr>
              <w:spacing w:line="320" w:lineRule="exact"/>
              <w:jc w:val="center"/>
              <w:rPr>
                <w:rFonts w:ascii="宋体" w:hAnsi="宋体"/>
                <w:szCs w:val="21"/>
              </w:rPr>
            </w:pPr>
            <w:r>
              <w:rPr>
                <w:rFonts w:hint="eastAsia"/>
                <w:szCs w:val="21"/>
              </w:rPr>
              <w:t>审核</w:t>
            </w:r>
            <w:r>
              <w:rPr>
                <w:rFonts w:hint="eastAsia" w:ascii="宋体" w:hAnsi="宋体"/>
                <w:szCs w:val="21"/>
              </w:rPr>
              <w:t>内容</w:t>
            </w:r>
          </w:p>
          <w:p>
            <w:pPr>
              <w:spacing w:line="320" w:lineRule="exact"/>
              <w:jc w:val="center"/>
              <w:rPr>
                <w:rFonts w:ascii="宋体" w:hAnsi="宋体"/>
                <w:szCs w:val="21"/>
              </w:rPr>
            </w:pPr>
            <w:r>
              <w:rPr>
                <w:rFonts w:hint="eastAsia" w:ascii="宋体" w:hAnsi="宋体"/>
                <w:szCs w:val="21"/>
              </w:rPr>
              <w:t>及抽样要求</w:t>
            </w:r>
          </w:p>
        </w:tc>
        <w:tc>
          <w:tcPr>
            <w:tcW w:w="1121" w:type="dxa"/>
            <w:vAlign w:val="center"/>
          </w:tcPr>
          <w:p>
            <w:pPr>
              <w:jc w:val="center"/>
              <w:rPr>
                <w:rFonts w:ascii="宋体" w:hAnsi="宋体"/>
                <w:szCs w:val="21"/>
              </w:rPr>
            </w:pPr>
            <w:r>
              <w:rPr>
                <w:rFonts w:hint="eastAsia" w:ascii="宋体" w:hAnsi="宋体"/>
                <w:szCs w:val="21"/>
              </w:rPr>
              <w:t>对应的</w:t>
            </w:r>
          </w:p>
          <w:p>
            <w:pPr>
              <w:jc w:val="center"/>
              <w:rPr>
                <w:rFonts w:ascii="宋体" w:hAnsi="宋体"/>
                <w:szCs w:val="21"/>
              </w:rPr>
            </w:pPr>
            <w:r>
              <w:rPr>
                <w:rFonts w:hint="eastAsia" w:ascii="宋体" w:hAnsi="宋体"/>
                <w:szCs w:val="21"/>
              </w:rPr>
              <w:t>标准条款</w:t>
            </w:r>
          </w:p>
        </w:tc>
        <w:tc>
          <w:tcPr>
            <w:tcW w:w="3750" w:type="dxa"/>
            <w:vAlign w:val="center"/>
          </w:tcPr>
          <w:p>
            <w:pPr>
              <w:jc w:val="center"/>
              <w:rPr>
                <w:rFonts w:ascii="宋体" w:hAnsi="宋体"/>
                <w:szCs w:val="21"/>
              </w:rPr>
            </w:pPr>
            <w:r>
              <w:rPr>
                <w:rFonts w:hint="eastAsia" w:ascii="宋体" w:hAnsi="宋体"/>
                <w:szCs w:val="21"/>
              </w:rPr>
              <w:t>审核记录及说明</w:t>
            </w:r>
          </w:p>
        </w:tc>
        <w:tc>
          <w:tcPr>
            <w:tcW w:w="2410" w:type="dxa"/>
            <w:vAlign w:val="center"/>
          </w:tcPr>
          <w:p>
            <w:pPr>
              <w:jc w:val="center"/>
              <w:rPr>
                <w:rFonts w:ascii="宋体" w:hAnsi="宋体"/>
                <w:szCs w:val="21"/>
              </w:rPr>
            </w:pPr>
            <w:r>
              <w:rPr>
                <w:rFonts w:hint="eastAsia"/>
                <w:sz w:val="24"/>
                <w:szCs w:val="24"/>
              </w:rPr>
              <w:t>审核部门</w:t>
            </w:r>
          </w:p>
        </w:tc>
        <w:tc>
          <w:tcPr>
            <w:tcW w:w="738" w:type="dxa"/>
            <w:vAlign w:val="center"/>
          </w:tcPr>
          <w:p>
            <w:pPr>
              <w:jc w:val="center"/>
              <w:rPr>
                <w:rFonts w:ascii="宋体" w:hAnsi="宋体"/>
                <w:sz w:val="18"/>
                <w:szCs w:val="18"/>
              </w:rPr>
            </w:pPr>
            <w:r>
              <w:rPr>
                <w:rFonts w:hint="eastAsia" w:ascii="宋体" w:hAnsi="宋体"/>
                <w:sz w:val="18"/>
                <w:szCs w:val="18"/>
              </w:rPr>
              <w:t>是否列入</w:t>
            </w:r>
          </w:p>
          <w:p>
            <w:pPr>
              <w:jc w:val="center"/>
              <w:rPr>
                <w:rFonts w:ascii="宋体" w:hAnsi="宋体"/>
                <w:szCs w:val="21"/>
              </w:rPr>
            </w:pPr>
            <w:r>
              <w:rPr>
                <w:rFonts w:hint="eastAsia" w:ascii="宋体" w:hAnsi="宋体"/>
                <w:sz w:val="18"/>
                <w:szCs w:val="18"/>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526" w:type="dxa"/>
            <w:vAlign w:val="center"/>
          </w:tcPr>
          <w:p>
            <w:pPr>
              <w:jc w:val="center"/>
              <w:rPr>
                <w:rFonts w:ascii="宋体" w:hAnsi="宋体" w:cs="宋体"/>
                <w:szCs w:val="21"/>
              </w:rPr>
            </w:pPr>
            <w:r>
              <w:rPr>
                <w:rFonts w:hint="eastAsia" w:ascii="宋体" w:hAnsi="宋体" w:cs="宋体"/>
                <w:szCs w:val="21"/>
              </w:rPr>
              <w:t>1</w:t>
            </w:r>
          </w:p>
        </w:tc>
        <w:tc>
          <w:tcPr>
            <w:tcW w:w="1769" w:type="dxa"/>
            <w:vAlign w:val="center"/>
          </w:tcPr>
          <w:p>
            <w:pPr>
              <w:rPr>
                <w:rFonts w:ascii="宋体" w:hAnsi="宋体" w:cs="宋体"/>
                <w:szCs w:val="21"/>
              </w:rPr>
            </w:pPr>
            <w:r>
              <w:rPr>
                <w:rFonts w:hint="eastAsia" w:ascii="宋体" w:hAnsi="宋体" w:cs="宋体"/>
                <w:szCs w:val="21"/>
              </w:rPr>
              <w:t>是否清楚本部门计量职能？相关人员职责？</w:t>
            </w:r>
          </w:p>
        </w:tc>
        <w:tc>
          <w:tcPr>
            <w:tcW w:w="1121" w:type="dxa"/>
            <w:vAlign w:val="center"/>
          </w:tcPr>
          <w:p>
            <w:pPr>
              <w:jc w:val="center"/>
              <w:rPr>
                <w:rFonts w:ascii="宋体" w:hAnsi="宋体" w:cs="宋体"/>
                <w:szCs w:val="21"/>
              </w:rPr>
            </w:pPr>
            <w:r>
              <w:rPr>
                <w:rFonts w:hint="eastAsia" w:ascii="宋体" w:hAnsi="宋体" w:cs="宋体"/>
                <w:szCs w:val="21"/>
              </w:rPr>
              <w:t>5.1计量职能</w:t>
            </w:r>
          </w:p>
        </w:tc>
        <w:tc>
          <w:tcPr>
            <w:tcW w:w="3750" w:type="dxa"/>
            <w:vAlign w:val="center"/>
          </w:tcPr>
          <w:p>
            <w:pPr>
              <w:ind w:firstLine="210" w:firstLineChars="100"/>
              <w:rPr>
                <w:rFonts w:hint="eastAsia" w:ascii="宋体" w:hAnsi="宋体"/>
                <w:szCs w:val="21"/>
              </w:rPr>
            </w:pPr>
          </w:p>
          <w:p>
            <w:pPr>
              <w:ind w:firstLine="210" w:firstLineChars="100"/>
              <w:rPr>
                <w:rFonts w:hint="eastAsia" w:ascii="宋体" w:hAnsi="宋体"/>
                <w:szCs w:val="21"/>
              </w:rPr>
            </w:pPr>
            <w:r>
              <w:rPr>
                <w:rFonts w:hint="eastAsia" w:ascii="宋体" w:hAnsi="宋体"/>
                <w:szCs w:val="21"/>
              </w:rPr>
              <w:t>企业编制了《计量职责管理程序》，明确测量管理体系中各级领导、各部门及有关人员的职责、权限及其相互关系，为测量管理体系的运行和实现有效地持续改进提供组织保证。</w:t>
            </w:r>
          </w:p>
          <w:p>
            <w:pPr>
              <w:ind w:firstLine="210" w:firstLineChars="100"/>
              <w:rPr>
                <w:rFonts w:hint="eastAsia" w:ascii="宋体" w:hAnsi="宋体"/>
                <w:szCs w:val="21"/>
              </w:rPr>
            </w:pPr>
            <w:r>
              <w:rPr>
                <w:rFonts w:hint="eastAsia" w:ascii="宋体" w:hAnsi="宋体"/>
                <w:szCs w:val="21"/>
              </w:rPr>
              <w:t>询问:</w:t>
            </w:r>
            <w:r>
              <w:rPr>
                <w:rFonts w:hint="eastAsia" w:ascii="宋体" w:hAnsi="宋体" w:cs="宋体"/>
                <w:szCs w:val="21"/>
              </w:rPr>
              <w:t>质检中心葛玉娟、安全环保部消气防队刘军、动力车间马桂花、生产经营部、</w:t>
            </w:r>
            <w:r>
              <w:rPr>
                <w:rFonts w:hint="eastAsia"/>
                <w:szCs w:val="21"/>
              </w:rPr>
              <w:t>二元酸车间张印、汽油加氢联合车间周龙、特油加氢联合车间张军</w:t>
            </w:r>
            <w:r>
              <w:rPr>
                <w:rFonts w:hint="eastAsia" w:ascii="宋体" w:hAnsi="宋体"/>
                <w:szCs w:val="21"/>
              </w:rPr>
              <w:t>等人员，了解他们的计量职能，他们都清楚本部门职能和自己的工作职责。</w:t>
            </w:r>
          </w:p>
          <w:p>
            <w:pPr>
              <w:ind w:firstLine="210" w:firstLineChars="100"/>
              <w:rPr>
                <w:rFonts w:ascii="宋体" w:hAnsi="宋体"/>
                <w:bCs/>
                <w:szCs w:val="21"/>
                <w:highlight w:val="yellow"/>
              </w:rPr>
            </w:pPr>
            <w:r>
              <w:rPr>
                <w:rFonts w:ascii="宋体" w:hAnsi="宋体"/>
                <w:bCs/>
                <w:szCs w:val="21"/>
              </w:rPr>
              <w:t xml:space="preserve"> </w:t>
            </w:r>
          </w:p>
        </w:tc>
        <w:tc>
          <w:tcPr>
            <w:tcW w:w="2410" w:type="dxa"/>
            <w:vAlign w:val="center"/>
          </w:tcPr>
          <w:p>
            <w:pPr>
              <w:rPr>
                <w:rFonts w:ascii="宋体" w:hAnsi="宋体"/>
                <w:bCs/>
                <w:szCs w:val="21"/>
              </w:rPr>
            </w:pPr>
            <w:r>
              <w:rPr>
                <w:rFonts w:hint="eastAsia" w:ascii="宋体" w:hAnsi="宋体" w:cs="宋体"/>
                <w:szCs w:val="21"/>
              </w:rPr>
              <w:t>质检中心、安全环保部、动力车间、生产经营部、</w:t>
            </w:r>
            <w:r>
              <w:rPr>
                <w:rFonts w:hint="eastAsia"/>
                <w:szCs w:val="21"/>
              </w:rPr>
              <w:t>二元酸车间、汽油加氢联合车间、特油加氢联合车间。</w:t>
            </w:r>
          </w:p>
        </w:tc>
        <w:tc>
          <w:tcPr>
            <w:tcW w:w="738" w:type="dxa"/>
            <w:vAlign w:val="center"/>
          </w:tcPr>
          <w:p>
            <w:pPr>
              <w:rPr>
                <w:rFonts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26" w:type="dxa"/>
            <w:vAlign w:val="center"/>
          </w:tcPr>
          <w:p>
            <w:pPr>
              <w:jc w:val="center"/>
              <w:rPr>
                <w:rFonts w:ascii="宋体" w:hAnsi="宋体" w:cs="宋体"/>
                <w:szCs w:val="21"/>
              </w:rPr>
            </w:pPr>
            <w:r>
              <w:rPr>
                <w:rFonts w:hint="eastAsia" w:ascii="宋体" w:hAnsi="宋体" w:cs="宋体"/>
                <w:szCs w:val="21"/>
              </w:rPr>
              <w:t>2</w:t>
            </w:r>
          </w:p>
        </w:tc>
        <w:tc>
          <w:tcPr>
            <w:tcW w:w="1769" w:type="dxa"/>
            <w:vAlign w:val="center"/>
          </w:tcPr>
          <w:p>
            <w:pPr>
              <w:adjustRightInd w:val="0"/>
              <w:snapToGrid w:val="0"/>
              <w:contextualSpacing/>
              <w:rPr>
                <w:rFonts w:ascii="宋体" w:hAnsi="宋体" w:cs="宋体"/>
                <w:szCs w:val="21"/>
              </w:rPr>
            </w:pPr>
            <w:r>
              <w:rPr>
                <w:rFonts w:hint="eastAsia" w:ascii="宋体" w:hAnsi="宋体" w:cs="宋体"/>
                <w:szCs w:val="21"/>
              </w:rPr>
              <w:t>所查部门有无分解的质量目标？目标是否可以测量？如果目标未分解可不查。</w:t>
            </w:r>
          </w:p>
          <w:p>
            <w:pPr>
              <w:tabs>
                <w:tab w:val="left" w:pos="2640"/>
              </w:tabs>
              <w:rPr>
                <w:rFonts w:ascii="宋体" w:hAnsi="宋体"/>
                <w:szCs w:val="21"/>
              </w:rPr>
            </w:pPr>
            <w:r>
              <w:rPr>
                <w:rFonts w:hint="eastAsia" w:ascii="宋体" w:hAnsi="宋体"/>
                <w:szCs w:val="21"/>
              </w:rPr>
              <w:t>企业是否制定质量目标。是否分解到各部门。是否有具体指标，是否可测量。</w:t>
            </w:r>
          </w:p>
          <w:p>
            <w:pPr>
              <w:rPr>
                <w:rFonts w:ascii="宋体" w:hAnsi="宋体" w:cs="宋体"/>
                <w:szCs w:val="21"/>
              </w:rPr>
            </w:pPr>
          </w:p>
        </w:tc>
        <w:tc>
          <w:tcPr>
            <w:tcW w:w="1121" w:type="dxa"/>
            <w:vAlign w:val="center"/>
          </w:tcPr>
          <w:p>
            <w:pPr>
              <w:jc w:val="center"/>
              <w:rPr>
                <w:rFonts w:ascii="宋体" w:hAnsi="宋体" w:cs="宋体"/>
                <w:szCs w:val="21"/>
              </w:rPr>
            </w:pPr>
            <w:r>
              <w:rPr>
                <w:rFonts w:hint="eastAsia" w:ascii="宋体" w:hAnsi="宋体" w:cs="宋体"/>
                <w:szCs w:val="21"/>
              </w:rPr>
              <w:t>5.3质量目标</w:t>
            </w:r>
          </w:p>
        </w:tc>
        <w:tc>
          <w:tcPr>
            <w:tcW w:w="3750" w:type="dxa"/>
            <w:vAlign w:val="center"/>
          </w:tcPr>
          <w:p>
            <w:pPr>
              <w:adjustRightInd w:val="0"/>
              <w:snapToGrid w:val="0"/>
              <w:ind w:firstLine="210" w:firstLineChars="100"/>
              <w:contextualSpacing/>
              <w:rPr>
                <w:rFonts w:hint="eastAsia" w:ascii="宋体" w:hAnsi="宋体" w:cs="宋体"/>
                <w:szCs w:val="21"/>
              </w:rPr>
            </w:pPr>
          </w:p>
          <w:p>
            <w:pPr>
              <w:adjustRightInd w:val="0"/>
              <w:snapToGrid w:val="0"/>
              <w:ind w:firstLine="210" w:firstLineChars="100"/>
              <w:contextualSpacing/>
              <w:rPr>
                <w:rFonts w:ascii="宋体" w:hAnsi="宋体"/>
                <w:color w:val="000000"/>
                <w:sz w:val="22"/>
                <w:szCs w:val="24"/>
              </w:rPr>
            </w:pPr>
            <w:r>
              <w:rPr>
                <w:rFonts w:hint="eastAsia" w:ascii="宋体" w:hAnsi="宋体" w:cs="宋体"/>
                <w:szCs w:val="21"/>
              </w:rPr>
              <w:t>查：企业质量目标</w:t>
            </w:r>
            <w:r>
              <w:rPr>
                <w:rFonts w:hint="eastAsia" w:ascii="宋体" w:hAnsi="宋体"/>
                <w:color w:val="000000"/>
                <w:sz w:val="22"/>
                <w:szCs w:val="24"/>
              </w:rPr>
              <w:t>《</w:t>
            </w:r>
            <w:r>
              <w:rPr>
                <w:rFonts w:hint="eastAsia" w:ascii="宋体" w:hAnsi="宋体" w:cs="宋体"/>
                <w:szCs w:val="21"/>
              </w:rPr>
              <w:t>2020年度测量管理体系年度质量目标分解计划</w:t>
            </w:r>
            <w:r>
              <w:rPr>
                <w:rFonts w:hint="eastAsia" w:ascii="宋体" w:hAnsi="宋体"/>
                <w:color w:val="000000"/>
                <w:sz w:val="22"/>
                <w:szCs w:val="24"/>
              </w:rPr>
              <w:t>》（QJSH-MMSPF5.3-01），分解到个部门和车间，有具体目标可以测量：</w:t>
            </w:r>
          </w:p>
          <w:p>
            <w:pPr>
              <w:adjustRightInd w:val="0"/>
              <w:snapToGrid w:val="0"/>
              <w:ind w:firstLine="210" w:firstLineChars="100"/>
              <w:contextualSpacing/>
              <w:rPr>
                <w:rFonts w:ascii="宋体" w:hAnsi="宋体" w:cs="宋体"/>
                <w:szCs w:val="21"/>
              </w:rPr>
            </w:pPr>
            <w:r>
              <w:rPr>
                <w:rFonts w:hint="eastAsia" w:ascii="宋体" w:hAnsi="宋体" w:cs="宋体"/>
                <w:szCs w:val="21"/>
              </w:rPr>
              <w:t>质检中心：所有</w:t>
            </w:r>
            <w:r>
              <w:rPr>
                <w:rFonts w:ascii="宋体" w:hAnsi="宋体" w:cs="宋体"/>
                <w:szCs w:val="21"/>
              </w:rPr>
              <w:t>测量设备计量确认率100%</w:t>
            </w:r>
            <w:r>
              <w:rPr>
                <w:rFonts w:hint="eastAsia" w:ascii="宋体" w:hAnsi="宋体" w:cs="宋体"/>
                <w:szCs w:val="21"/>
              </w:rPr>
              <w:t>、</w:t>
            </w:r>
            <w:r>
              <w:rPr>
                <w:rFonts w:ascii="宋体" w:hAnsi="宋体" w:cs="宋体"/>
                <w:szCs w:val="21"/>
              </w:rPr>
              <w:t>关键测量过程</w:t>
            </w:r>
            <w:r>
              <w:rPr>
                <w:rFonts w:hint="eastAsia" w:ascii="宋体" w:hAnsi="宋体" w:cs="宋体"/>
                <w:szCs w:val="21"/>
              </w:rPr>
              <w:t>确认</w:t>
            </w:r>
            <w:r>
              <w:rPr>
                <w:rFonts w:ascii="宋体" w:hAnsi="宋体" w:cs="宋体"/>
                <w:szCs w:val="21"/>
              </w:rPr>
              <w:t>100%</w:t>
            </w:r>
            <w:r>
              <w:rPr>
                <w:rFonts w:hint="eastAsia" w:ascii="宋体" w:hAnsi="宋体" w:cs="宋体"/>
                <w:szCs w:val="21"/>
              </w:rPr>
              <w:t>、</w:t>
            </w:r>
            <w:r>
              <w:rPr>
                <w:rFonts w:ascii="宋体" w:hAnsi="宋体" w:cs="宋体"/>
                <w:szCs w:val="21"/>
              </w:rPr>
              <w:t>检测人员100%持证上岗</w:t>
            </w:r>
            <w:r>
              <w:rPr>
                <w:rFonts w:hint="eastAsia" w:ascii="宋体" w:hAnsi="宋体" w:cs="宋体"/>
                <w:szCs w:val="21"/>
              </w:rPr>
              <w:t>；</w:t>
            </w:r>
          </w:p>
          <w:p>
            <w:pPr>
              <w:adjustRightInd w:val="0"/>
              <w:snapToGrid w:val="0"/>
              <w:ind w:firstLine="210" w:firstLineChars="100"/>
              <w:contextualSpacing/>
              <w:rPr>
                <w:szCs w:val="21"/>
              </w:rPr>
            </w:pPr>
            <w:r>
              <w:rPr>
                <w:rFonts w:hint="eastAsia" w:ascii="宋体" w:hAnsi="宋体" w:cs="宋体"/>
                <w:szCs w:val="21"/>
              </w:rPr>
              <w:t>动力车间、</w:t>
            </w:r>
            <w:r>
              <w:rPr>
                <w:rFonts w:hint="eastAsia"/>
                <w:szCs w:val="21"/>
              </w:rPr>
              <w:t>二元酸车间、汽油加氢联合车间、特油加氢联合车间是生产部门，分解目标：</w:t>
            </w:r>
            <w:r>
              <w:rPr>
                <w:szCs w:val="21"/>
              </w:rPr>
              <w:t>关键测量设备计量确认率100%</w:t>
            </w:r>
            <w:r>
              <w:rPr>
                <w:rFonts w:hint="eastAsia"/>
                <w:szCs w:val="21"/>
              </w:rPr>
              <w:t>、</w:t>
            </w:r>
            <w:r>
              <w:rPr>
                <w:szCs w:val="21"/>
              </w:rPr>
              <w:t>关键测量过程</w:t>
            </w:r>
            <w:r>
              <w:rPr>
                <w:rFonts w:hint="eastAsia"/>
                <w:szCs w:val="21"/>
              </w:rPr>
              <w:t>确认</w:t>
            </w:r>
            <w:r>
              <w:rPr>
                <w:szCs w:val="21"/>
              </w:rPr>
              <w:t>100%</w:t>
            </w:r>
            <w:r>
              <w:rPr>
                <w:rFonts w:hint="eastAsia"/>
                <w:szCs w:val="21"/>
              </w:rPr>
              <w:t>。</w:t>
            </w:r>
          </w:p>
          <w:p>
            <w:pPr>
              <w:adjustRightInd w:val="0"/>
              <w:snapToGrid w:val="0"/>
              <w:contextualSpacing/>
              <w:rPr>
                <w:rFonts w:ascii="宋体" w:hAnsi="宋体"/>
                <w:szCs w:val="21"/>
              </w:rPr>
            </w:pPr>
          </w:p>
        </w:tc>
        <w:tc>
          <w:tcPr>
            <w:tcW w:w="2410" w:type="dxa"/>
            <w:vAlign w:val="center"/>
          </w:tcPr>
          <w:p>
            <w:pPr>
              <w:rPr>
                <w:rFonts w:ascii="宋体" w:hAnsi="宋体" w:cs="宋体"/>
                <w:szCs w:val="21"/>
              </w:rPr>
            </w:pPr>
            <w:r>
              <w:rPr>
                <w:rFonts w:hint="eastAsia" w:ascii="宋体" w:hAnsi="宋体" w:cs="宋体"/>
                <w:szCs w:val="21"/>
              </w:rPr>
              <w:t>质检中心、安全环保部、动力车间、生产经营部、</w:t>
            </w:r>
            <w:r>
              <w:rPr>
                <w:rFonts w:hint="eastAsia"/>
                <w:szCs w:val="21"/>
              </w:rPr>
              <w:t>二元酸车间、汽油加氢联合车间、特油加氢联合车间。</w:t>
            </w:r>
          </w:p>
        </w:tc>
        <w:tc>
          <w:tcPr>
            <w:tcW w:w="738" w:type="dxa"/>
            <w:vAlign w:val="center"/>
          </w:tcPr>
          <w:p>
            <w:pPr>
              <w:rPr>
                <w:rFonts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26" w:type="dxa"/>
            <w:vAlign w:val="center"/>
          </w:tcPr>
          <w:p>
            <w:pPr>
              <w:jc w:val="center"/>
              <w:rPr>
                <w:rFonts w:ascii="宋体" w:hAnsi="宋体" w:cs="宋体"/>
                <w:szCs w:val="21"/>
              </w:rPr>
            </w:pPr>
            <w:r>
              <w:rPr>
                <w:rFonts w:hint="eastAsia" w:ascii="宋体" w:hAnsi="宋体" w:cs="宋体"/>
                <w:szCs w:val="21"/>
              </w:rPr>
              <w:t>3</w:t>
            </w:r>
          </w:p>
        </w:tc>
        <w:tc>
          <w:tcPr>
            <w:tcW w:w="1769" w:type="dxa"/>
            <w:vAlign w:val="center"/>
          </w:tcPr>
          <w:p>
            <w:pPr>
              <w:adjustRightInd w:val="0"/>
              <w:snapToGrid w:val="0"/>
              <w:contextualSpacing/>
              <w:rPr>
                <w:sz w:val="24"/>
                <w:szCs w:val="24"/>
              </w:rPr>
            </w:pPr>
            <w:r>
              <w:rPr>
                <w:rFonts w:hint="eastAsia"/>
                <w:szCs w:val="21"/>
              </w:rPr>
              <w:t>部门文件是否现行有效并受控？抽查1-2份管理和技术文件信息量、计量单位、受控情况。</w:t>
            </w:r>
          </w:p>
        </w:tc>
        <w:tc>
          <w:tcPr>
            <w:tcW w:w="1121" w:type="dxa"/>
            <w:vAlign w:val="center"/>
          </w:tcPr>
          <w:p>
            <w:pPr>
              <w:adjustRightInd w:val="0"/>
              <w:snapToGrid w:val="0"/>
              <w:contextualSpacing/>
              <w:rPr>
                <w:sz w:val="24"/>
                <w:szCs w:val="24"/>
              </w:rPr>
            </w:pPr>
            <w:r>
              <w:rPr>
                <w:rFonts w:hint="eastAsia" w:ascii="宋体" w:hAnsi="宋体"/>
                <w:szCs w:val="21"/>
              </w:rPr>
              <w:t>6.2.1程序</w:t>
            </w:r>
          </w:p>
        </w:tc>
        <w:tc>
          <w:tcPr>
            <w:tcW w:w="3750" w:type="dxa"/>
            <w:vAlign w:val="center"/>
          </w:tcPr>
          <w:p>
            <w:pPr>
              <w:adjustRightInd w:val="0"/>
              <w:snapToGrid w:val="0"/>
              <w:ind w:firstLine="315" w:firstLineChars="150"/>
              <w:rPr>
                <w:rFonts w:hint="eastAsia"/>
                <w:szCs w:val="21"/>
              </w:rPr>
            </w:pPr>
          </w:p>
          <w:p>
            <w:pPr>
              <w:adjustRightInd w:val="0"/>
              <w:snapToGrid w:val="0"/>
              <w:ind w:firstLine="315" w:firstLineChars="150"/>
              <w:rPr>
                <w:szCs w:val="21"/>
              </w:rPr>
            </w:pPr>
            <w:r>
              <w:rPr>
                <w:rFonts w:hint="eastAsia"/>
                <w:szCs w:val="21"/>
              </w:rPr>
              <w:t>部门文件现行有效并受控</w:t>
            </w:r>
          </w:p>
          <w:p>
            <w:pPr>
              <w:adjustRightInd w:val="0"/>
              <w:snapToGrid w:val="0"/>
              <w:ind w:firstLine="315" w:firstLineChars="150"/>
              <w:rPr>
                <w:szCs w:val="21"/>
              </w:rPr>
            </w:pPr>
            <w:r>
              <w:rPr>
                <w:rFonts w:hint="eastAsia"/>
                <w:szCs w:val="21"/>
              </w:rPr>
              <w:t>查检查动力车间：文件编号QJ/YZ02DL01-2018《动力车间各装置岗位操作法》、文件编号：QJ/YZ01DL01-2018《动力车间工艺技术规程》等4份文件，文件受控有效；</w:t>
            </w:r>
            <w:r>
              <w:rPr>
                <w:szCs w:val="21"/>
              </w:rPr>
              <w:t xml:space="preserve"> </w:t>
            </w:r>
          </w:p>
          <w:p>
            <w:pPr>
              <w:ind w:firstLine="210" w:firstLineChars="100"/>
              <w:rPr>
                <w:szCs w:val="21"/>
              </w:rPr>
            </w:pPr>
            <w:r>
              <w:rPr>
                <w:szCs w:val="21"/>
              </w:rPr>
              <w:t>查质检中心</w:t>
            </w:r>
            <w:r>
              <w:rPr>
                <w:rFonts w:hint="eastAsia"/>
                <w:szCs w:val="21"/>
              </w:rPr>
              <w:t>：GB 17930-2016 《车用汽油》、GB 19147-2016 《车用柴油》等3份文件，文件受控有效；</w:t>
            </w:r>
          </w:p>
          <w:p>
            <w:pPr>
              <w:ind w:firstLine="210" w:firstLineChars="100"/>
              <w:rPr>
                <w:szCs w:val="21"/>
              </w:rPr>
            </w:pPr>
            <w:r>
              <w:rPr>
                <w:szCs w:val="21"/>
              </w:rPr>
              <w:t>查二元酸车间</w:t>
            </w:r>
            <w:r>
              <w:rPr>
                <w:rFonts w:hint="eastAsia"/>
                <w:szCs w:val="21"/>
              </w:rPr>
              <w:t>：QJ/SH淮安清江石油化工有限责任公司企业标准《1000吨/年长链二元酸溶剂精制装置操作规程》等4份文件，文件受控有效，文件受控有效；</w:t>
            </w:r>
          </w:p>
          <w:p>
            <w:pPr>
              <w:ind w:firstLine="210" w:firstLineChars="100"/>
              <w:rPr>
                <w:szCs w:val="21"/>
              </w:rPr>
            </w:pPr>
            <w:r>
              <w:rPr>
                <w:rFonts w:hint="eastAsia"/>
                <w:szCs w:val="21"/>
              </w:rPr>
              <w:t>查汽油加氢联合车间：文件编号QJ/YZ02QYLH02-2018《2000吨/年硫回收装置岗位操作法》，文件受控有效；</w:t>
            </w:r>
          </w:p>
          <w:p>
            <w:pPr>
              <w:ind w:firstLine="210" w:firstLineChars="100"/>
              <w:rPr>
                <w:szCs w:val="21"/>
              </w:rPr>
            </w:pPr>
            <w:r>
              <w:rPr>
                <w:rFonts w:hint="eastAsia"/>
                <w:szCs w:val="21"/>
              </w:rPr>
              <w:t>查特油加氢联合车间：文件编号QJ/YZ02TYJ02-2018《20万吨/年柴油加氢装置岗位操作法》、文件编号：QJ/YZ01TYJ01-2018《制氢加氢联合装置工艺技术规程》，文件受控有效。</w:t>
            </w:r>
          </w:p>
          <w:p>
            <w:pPr>
              <w:ind w:firstLine="210" w:firstLineChars="100"/>
              <w:rPr>
                <w:rFonts w:hint="eastAsia"/>
                <w:szCs w:val="21"/>
              </w:rPr>
            </w:pPr>
            <w:r>
              <w:rPr>
                <w:szCs w:val="21"/>
              </w:rPr>
              <w:t>符合标准要求</w:t>
            </w:r>
            <w:r>
              <w:rPr>
                <w:rFonts w:hint="eastAsia"/>
                <w:szCs w:val="21"/>
              </w:rPr>
              <w:t>。</w:t>
            </w:r>
          </w:p>
          <w:p>
            <w:pPr>
              <w:ind w:firstLine="210" w:firstLineChars="100"/>
              <w:rPr>
                <w:szCs w:val="21"/>
                <w:highlight w:val="yellow"/>
              </w:rPr>
            </w:pPr>
          </w:p>
        </w:tc>
        <w:tc>
          <w:tcPr>
            <w:tcW w:w="2410" w:type="dxa"/>
            <w:vAlign w:val="center"/>
          </w:tcPr>
          <w:p>
            <w:pPr>
              <w:rPr>
                <w:rFonts w:ascii="宋体" w:hAnsi="宋体" w:cs="宋体"/>
                <w:szCs w:val="21"/>
              </w:rPr>
            </w:pPr>
            <w:r>
              <w:rPr>
                <w:rFonts w:hint="eastAsia" w:ascii="宋体" w:hAnsi="宋体" w:cs="宋体"/>
                <w:szCs w:val="21"/>
              </w:rPr>
              <w:t>质检中心、安全环保部、动力车间、</w:t>
            </w:r>
            <w:r>
              <w:rPr>
                <w:rFonts w:hint="eastAsia"/>
                <w:szCs w:val="21"/>
              </w:rPr>
              <w:t>二元酸车间、汽油加氢联合车间、特油加氢联合车间。</w:t>
            </w:r>
          </w:p>
        </w:tc>
        <w:tc>
          <w:tcPr>
            <w:tcW w:w="738" w:type="dxa"/>
            <w:vAlign w:val="center"/>
          </w:tcPr>
          <w:p>
            <w:pPr>
              <w:rPr>
                <w:rFonts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trPr>
        <w:tc>
          <w:tcPr>
            <w:tcW w:w="526" w:type="dxa"/>
            <w:vAlign w:val="center"/>
          </w:tcPr>
          <w:p>
            <w:pPr>
              <w:jc w:val="center"/>
              <w:rPr>
                <w:rFonts w:ascii="宋体" w:hAnsi="宋体" w:cs="宋体"/>
                <w:szCs w:val="21"/>
              </w:rPr>
            </w:pPr>
            <w:r>
              <w:rPr>
                <w:rFonts w:hint="eastAsia" w:ascii="宋体" w:hAnsi="宋体" w:cs="宋体"/>
                <w:szCs w:val="21"/>
              </w:rPr>
              <w:t>4</w:t>
            </w:r>
          </w:p>
        </w:tc>
        <w:tc>
          <w:tcPr>
            <w:tcW w:w="1769" w:type="dxa"/>
            <w:vAlign w:val="center"/>
          </w:tcPr>
          <w:p>
            <w:pPr>
              <w:adjustRightInd w:val="0"/>
              <w:snapToGrid w:val="0"/>
              <w:contextualSpacing/>
              <w:rPr>
                <w:sz w:val="24"/>
                <w:szCs w:val="24"/>
              </w:rPr>
            </w:pPr>
            <w:r>
              <w:rPr>
                <w:rFonts w:hint="eastAsia"/>
                <w:szCs w:val="21"/>
              </w:rPr>
              <w:t>企业是否建立软件管理程序文件？软件识别和确认？</w:t>
            </w:r>
          </w:p>
        </w:tc>
        <w:tc>
          <w:tcPr>
            <w:tcW w:w="1121" w:type="dxa"/>
            <w:vAlign w:val="center"/>
          </w:tcPr>
          <w:p>
            <w:pPr>
              <w:adjustRightInd w:val="0"/>
              <w:snapToGrid w:val="0"/>
              <w:contextualSpacing/>
              <w:rPr>
                <w:sz w:val="24"/>
                <w:szCs w:val="24"/>
              </w:rPr>
            </w:pPr>
            <w:r>
              <w:rPr>
                <w:rFonts w:hint="eastAsia" w:ascii="宋体" w:hAnsi="宋体"/>
                <w:szCs w:val="21"/>
              </w:rPr>
              <w:t>6.2.2软件</w:t>
            </w:r>
          </w:p>
        </w:tc>
        <w:tc>
          <w:tcPr>
            <w:tcW w:w="3750" w:type="dxa"/>
            <w:vAlign w:val="center"/>
          </w:tcPr>
          <w:p>
            <w:pPr>
              <w:ind w:firstLine="420" w:firstLineChars="200"/>
              <w:jc w:val="left"/>
              <w:rPr>
                <w:rFonts w:hint="eastAsia"/>
                <w:szCs w:val="22"/>
              </w:rPr>
            </w:pPr>
          </w:p>
          <w:p>
            <w:pPr>
              <w:ind w:firstLine="420" w:firstLineChars="200"/>
              <w:jc w:val="left"/>
              <w:rPr>
                <w:szCs w:val="21"/>
              </w:rPr>
            </w:pPr>
            <w:r>
              <w:rPr>
                <w:rFonts w:hint="eastAsia"/>
                <w:szCs w:val="22"/>
              </w:rPr>
              <w:t>企业编制了QJSH-MMSPF-05-2020 《软件管理程序》</w:t>
            </w:r>
            <w:r>
              <w:rPr>
                <w:rFonts w:hint="eastAsia" w:ascii="宋体" w:hAnsi="宋体"/>
                <w:szCs w:val="21"/>
              </w:rPr>
              <w:t>文件。</w:t>
            </w:r>
            <w:r>
              <w:rPr>
                <w:rFonts w:hint="eastAsia"/>
                <w:szCs w:val="22"/>
              </w:rPr>
              <w:t>明确规定了测量软件管理的范围，维护，测试和确认。企业进行了软件识别，建立了软件台账，查看《清江石化软件清单》，编号：QJSH-MMSPF6.2.2-01共识别了8个软件，包括使用部门、使用地点、测试确认人和确认状态等信息</w:t>
            </w:r>
            <w:r>
              <w:rPr>
                <w:rFonts w:hint="eastAsia"/>
                <w:szCs w:val="21"/>
              </w:rPr>
              <w:t>。</w:t>
            </w:r>
          </w:p>
          <w:p>
            <w:pPr>
              <w:ind w:firstLine="210" w:firstLineChars="100"/>
              <w:rPr>
                <w:rFonts w:ascii="宋体" w:hAnsi="宋体"/>
                <w:szCs w:val="21"/>
              </w:rPr>
            </w:pPr>
            <w:r>
              <w:rPr>
                <w:rFonts w:hint="eastAsia" w:ascii="宋体" w:hAnsi="宋体"/>
                <w:szCs w:val="21"/>
              </w:rPr>
              <w:t>查：动力车间识别了1个软件：编号：</w:t>
            </w:r>
            <w:r>
              <w:rPr>
                <w:rFonts w:hint="eastAsia" w:cs="宋体" w:asciiTheme="minorEastAsia" w:hAnsiTheme="minorEastAsia"/>
                <w:szCs w:val="21"/>
              </w:rPr>
              <w:t>QJ-DY-002、软件名称：PCS7</w:t>
            </w:r>
            <w:r>
              <w:rPr>
                <w:rFonts w:hint="eastAsia" w:ascii="宋体" w:hAnsi="宋体"/>
                <w:szCs w:val="21"/>
              </w:rPr>
              <w:t>；</w:t>
            </w:r>
          </w:p>
          <w:p>
            <w:pPr>
              <w:ind w:firstLine="105" w:firstLineChars="50"/>
              <w:rPr>
                <w:rFonts w:ascii="宋体" w:hAnsi="宋体"/>
                <w:szCs w:val="21"/>
              </w:rPr>
            </w:pPr>
            <w:r>
              <w:rPr>
                <w:rFonts w:hint="eastAsia" w:ascii="宋体" w:hAnsi="宋体"/>
                <w:szCs w:val="21"/>
              </w:rPr>
              <w:t>二元酸车间识别了1个软件：编号：</w:t>
            </w:r>
            <w:r>
              <w:rPr>
                <w:rFonts w:hint="eastAsia" w:cs="宋体" w:asciiTheme="minorEastAsia" w:hAnsiTheme="minorEastAsia"/>
                <w:szCs w:val="21"/>
              </w:rPr>
              <w:t>QJ-DY-003、软件名称：JX-300</w:t>
            </w:r>
            <w:r>
              <w:rPr>
                <w:rFonts w:hint="eastAsia" w:ascii="宋体" w:hAnsi="宋体"/>
                <w:szCs w:val="21"/>
              </w:rPr>
              <w:t>；</w:t>
            </w:r>
          </w:p>
          <w:p>
            <w:pPr>
              <w:ind w:firstLine="105" w:firstLineChars="50"/>
              <w:rPr>
                <w:rFonts w:ascii="宋体" w:hAnsi="宋体"/>
                <w:szCs w:val="21"/>
              </w:rPr>
            </w:pPr>
            <w:r>
              <w:rPr>
                <w:rFonts w:hint="eastAsia"/>
                <w:szCs w:val="21"/>
              </w:rPr>
              <w:t>特油加氢联合车间</w:t>
            </w:r>
            <w:r>
              <w:rPr>
                <w:rFonts w:hint="eastAsia" w:ascii="宋体" w:hAnsi="宋体"/>
                <w:szCs w:val="21"/>
              </w:rPr>
              <w:t>识别了1个软件：编号：</w:t>
            </w:r>
            <w:r>
              <w:rPr>
                <w:rFonts w:hint="eastAsia" w:cs="宋体" w:asciiTheme="minorEastAsia" w:hAnsiTheme="minorEastAsia"/>
                <w:szCs w:val="21"/>
              </w:rPr>
              <w:t>QJ-DY-003、软件名称：JX-300</w:t>
            </w:r>
            <w:r>
              <w:rPr>
                <w:rFonts w:hint="eastAsia" w:ascii="宋体" w:hAnsi="宋体"/>
                <w:szCs w:val="21"/>
              </w:rPr>
              <w:t>；</w:t>
            </w:r>
          </w:p>
          <w:p>
            <w:pPr>
              <w:ind w:firstLine="105" w:firstLineChars="50"/>
              <w:rPr>
                <w:rFonts w:ascii="宋体" w:hAnsi="宋体"/>
                <w:szCs w:val="21"/>
              </w:rPr>
            </w:pPr>
            <w:r>
              <w:rPr>
                <w:rFonts w:hint="eastAsia"/>
                <w:szCs w:val="21"/>
              </w:rPr>
              <w:t>汽油加氢联合车间</w:t>
            </w:r>
            <w:r>
              <w:rPr>
                <w:rFonts w:hint="eastAsia" w:ascii="宋体" w:hAnsi="宋体"/>
                <w:szCs w:val="21"/>
              </w:rPr>
              <w:t>识别了1个软件，编号：</w:t>
            </w:r>
            <w:r>
              <w:rPr>
                <w:rFonts w:hint="eastAsia" w:cs="宋体" w:asciiTheme="minorEastAsia" w:hAnsiTheme="minorEastAsia"/>
                <w:szCs w:val="21"/>
              </w:rPr>
              <w:t>QJ-DY-004、软件名称：MACS</w:t>
            </w:r>
            <w:r>
              <w:rPr>
                <w:rFonts w:hint="eastAsia" w:ascii="宋体" w:hAnsi="宋体"/>
                <w:szCs w:val="21"/>
              </w:rPr>
              <w:t>；</w:t>
            </w:r>
          </w:p>
          <w:p>
            <w:pPr>
              <w:ind w:firstLine="420" w:firstLineChars="200"/>
              <w:rPr>
                <w:rFonts w:hint="eastAsia" w:ascii="宋体" w:hAnsi="宋体" w:cs="宋体"/>
                <w:szCs w:val="21"/>
              </w:rPr>
            </w:pPr>
            <w:r>
              <w:rPr>
                <w:rFonts w:ascii="宋体" w:hAnsi="宋体" w:cs="宋体"/>
                <w:szCs w:val="21"/>
              </w:rPr>
              <w:t>符合标准要求</w:t>
            </w:r>
            <w:r>
              <w:rPr>
                <w:rFonts w:hint="eastAsia" w:ascii="宋体" w:hAnsi="宋体" w:cs="宋体"/>
                <w:szCs w:val="21"/>
              </w:rPr>
              <w:t>。</w:t>
            </w:r>
          </w:p>
          <w:p>
            <w:pPr>
              <w:ind w:firstLine="420" w:firstLineChars="200"/>
              <w:rPr>
                <w:rFonts w:ascii="宋体" w:hAnsi="宋体" w:cs="宋体"/>
                <w:szCs w:val="21"/>
              </w:rPr>
            </w:pPr>
          </w:p>
        </w:tc>
        <w:tc>
          <w:tcPr>
            <w:tcW w:w="2410" w:type="dxa"/>
            <w:vAlign w:val="center"/>
          </w:tcPr>
          <w:p>
            <w:pPr>
              <w:rPr>
                <w:rFonts w:ascii="宋体" w:hAnsi="宋体"/>
                <w:bCs/>
                <w:szCs w:val="21"/>
              </w:rPr>
            </w:pPr>
            <w:r>
              <w:rPr>
                <w:rFonts w:hint="eastAsia" w:ascii="宋体" w:hAnsi="宋体" w:cs="宋体"/>
                <w:szCs w:val="21"/>
              </w:rPr>
              <w:t>质检中心、安全环保部、动力车间、</w:t>
            </w:r>
            <w:r>
              <w:rPr>
                <w:rFonts w:hint="eastAsia"/>
                <w:szCs w:val="21"/>
              </w:rPr>
              <w:t>二元酸车间、汽油加氢联合车间、特油加氢联合车间。</w:t>
            </w:r>
          </w:p>
        </w:tc>
        <w:tc>
          <w:tcPr>
            <w:tcW w:w="738" w:type="dxa"/>
            <w:vAlign w:val="center"/>
          </w:tcPr>
          <w:p>
            <w:pPr>
              <w:rPr>
                <w:rFonts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526" w:type="dxa"/>
            <w:vAlign w:val="center"/>
          </w:tcPr>
          <w:p>
            <w:pPr>
              <w:jc w:val="center"/>
              <w:rPr>
                <w:rFonts w:ascii="宋体" w:hAnsi="宋体" w:cs="宋体"/>
                <w:szCs w:val="21"/>
              </w:rPr>
            </w:pPr>
            <w:r>
              <w:rPr>
                <w:rFonts w:hint="eastAsia" w:ascii="宋体" w:hAnsi="宋体" w:cs="宋体"/>
                <w:szCs w:val="21"/>
              </w:rPr>
              <w:t>5</w:t>
            </w:r>
          </w:p>
        </w:tc>
        <w:tc>
          <w:tcPr>
            <w:tcW w:w="1769" w:type="dxa"/>
            <w:vAlign w:val="center"/>
          </w:tcPr>
          <w:p>
            <w:pPr>
              <w:jc w:val="left"/>
              <w:rPr>
                <w:szCs w:val="21"/>
              </w:rPr>
            </w:pPr>
            <w:r>
              <w:rPr>
                <w:szCs w:val="21"/>
              </w:rPr>
              <w:t>企业是否编制了《测量记录管理程序》？核对1-2个记录信息量：有无编号？依据？设备信息？保存期限？等</w:t>
            </w:r>
          </w:p>
        </w:tc>
        <w:tc>
          <w:tcPr>
            <w:tcW w:w="1121" w:type="dxa"/>
            <w:vAlign w:val="center"/>
          </w:tcPr>
          <w:p>
            <w:pPr>
              <w:jc w:val="center"/>
              <w:rPr>
                <w:szCs w:val="21"/>
              </w:rPr>
            </w:pPr>
            <w:r>
              <w:rPr>
                <w:szCs w:val="21"/>
              </w:rPr>
              <w:t>6.2.3记录</w:t>
            </w:r>
          </w:p>
        </w:tc>
        <w:tc>
          <w:tcPr>
            <w:tcW w:w="3750" w:type="dxa"/>
            <w:vAlign w:val="center"/>
          </w:tcPr>
          <w:p>
            <w:pPr>
              <w:adjustRightInd w:val="0"/>
              <w:snapToGrid w:val="0"/>
              <w:ind w:firstLine="210" w:firstLineChars="100"/>
              <w:contextualSpacing/>
              <w:rPr>
                <w:rFonts w:hint="eastAsia" w:ascii="宋体" w:hAnsi="宋体"/>
                <w:bCs/>
                <w:szCs w:val="21"/>
              </w:rPr>
            </w:pPr>
          </w:p>
          <w:p>
            <w:pPr>
              <w:adjustRightInd w:val="0"/>
              <w:snapToGrid w:val="0"/>
              <w:ind w:firstLine="210" w:firstLineChars="100"/>
              <w:contextualSpacing/>
              <w:rPr>
                <w:szCs w:val="21"/>
              </w:rPr>
            </w:pPr>
            <w:r>
              <w:rPr>
                <w:rFonts w:hint="eastAsia" w:ascii="宋体" w:hAnsi="宋体"/>
                <w:bCs/>
                <w:szCs w:val="21"/>
              </w:rPr>
              <w:t>企业编制了</w:t>
            </w:r>
            <w:r>
              <w:rPr>
                <w:szCs w:val="21"/>
              </w:rPr>
              <w:t>《记录管理程序》</w:t>
            </w:r>
          </w:p>
          <w:p>
            <w:pPr>
              <w:adjustRightInd w:val="0"/>
              <w:snapToGrid w:val="0"/>
              <w:ind w:firstLine="210" w:firstLineChars="100"/>
              <w:contextualSpacing/>
              <w:rPr>
                <w:rFonts w:ascii="宋体" w:hAnsi="宋体" w:cs="宋体"/>
                <w:szCs w:val="21"/>
              </w:rPr>
            </w:pPr>
            <w:r>
              <w:rPr>
                <w:rFonts w:hint="eastAsia"/>
                <w:szCs w:val="21"/>
              </w:rPr>
              <w:t>查</w:t>
            </w:r>
            <w:r>
              <w:rPr>
                <w:rFonts w:hint="eastAsia" w:ascii="宋体" w:hAnsi="宋体" w:cs="宋体"/>
                <w:szCs w:val="21"/>
              </w:rPr>
              <w:t>质检中心：淮安清江石油化工有限责任公司《产品质量合格证》，信息包括：执行标准、产品名称、记录编号、签发日期、分析项目、质量指标、实测结果、试验方法、判定结果、检查员等；《辛烷值分析记录》，有分析日期、试样名称、操作人员、燃料名称、爆读数；</w:t>
            </w:r>
          </w:p>
          <w:p>
            <w:pPr>
              <w:adjustRightInd w:val="0"/>
              <w:snapToGrid w:val="0"/>
              <w:ind w:firstLine="210" w:firstLineChars="100"/>
              <w:contextualSpacing/>
              <w:rPr>
                <w:rFonts w:ascii="宋体" w:hAnsi="宋体" w:cs="宋体"/>
                <w:szCs w:val="21"/>
              </w:rPr>
            </w:pPr>
            <w:r>
              <w:rPr>
                <w:rFonts w:hint="eastAsia" w:ascii="宋体" w:hAnsi="宋体" w:cs="宋体"/>
                <w:szCs w:val="21"/>
              </w:rPr>
              <w:t>动力车间：《清江石化动力车间质量操作记录》，信息包括记录编号：QJ/YZ04.DL06-2021、检测点、检测项目、单位、检测日期、检测时间等；</w:t>
            </w:r>
          </w:p>
          <w:p>
            <w:pPr>
              <w:adjustRightInd w:val="0"/>
              <w:snapToGrid w:val="0"/>
              <w:ind w:firstLine="210" w:firstLineChars="100"/>
              <w:contextualSpacing/>
              <w:rPr>
                <w:szCs w:val="21"/>
              </w:rPr>
            </w:pPr>
            <w:r>
              <w:rPr>
                <w:rFonts w:hint="eastAsia"/>
                <w:szCs w:val="21"/>
              </w:rPr>
              <w:t>二元酸车间：淮安清江石油化工有限责任公司《二元酸车间空气压缩机操作记录》，信息包括项目、记录编号：QJ/SHQJ.EYS.02-J004、时间、操作员等；</w:t>
            </w:r>
          </w:p>
          <w:p>
            <w:pPr>
              <w:adjustRightInd w:val="0"/>
              <w:snapToGrid w:val="0"/>
              <w:ind w:firstLine="210" w:firstLineChars="100"/>
              <w:contextualSpacing/>
              <w:rPr>
                <w:szCs w:val="21"/>
              </w:rPr>
            </w:pPr>
            <w:r>
              <w:rPr>
                <w:rFonts w:hint="eastAsia"/>
                <w:szCs w:val="21"/>
              </w:rPr>
              <w:t>汽油加氢联合车间：《清江石化硫磺回收装置操作记录》，信息有记录编号、项目、时间、各项参数值、操作员等；</w:t>
            </w:r>
          </w:p>
          <w:p>
            <w:pPr>
              <w:adjustRightInd w:val="0"/>
              <w:snapToGrid w:val="0"/>
              <w:ind w:firstLine="210" w:firstLineChars="100"/>
              <w:contextualSpacing/>
              <w:rPr>
                <w:szCs w:val="21"/>
              </w:rPr>
            </w:pPr>
            <w:r>
              <w:rPr>
                <w:rFonts w:hint="eastAsia"/>
                <w:szCs w:val="21"/>
              </w:rPr>
              <w:t>特油加氢联合车间：记录编号QJG09-06-01《清江石化高处作业许可证》、信息包括作业区域、主要危险因素、作业单位负责人、许可证有效期；</w:t>
            </w:r>
          </w:p>
          <w:p>
            <w:pPr>
              <w:adjustRightInd w:val="0"/>
              <w:snapToGrid w:val="0"/>
              <w:contextualSpacing/>
              <w:rPr>
                <w:szCs w:val="21"/>
              </w:rPr>
            </w:pPr>
            <w:r>
              <w:rPr>
                <w:rFonts w:hint="eastAsia"/>
                <w:szCs w:val="21"/>
              </w:rPr>
              <w:t>等相关信息齐全。</w:t>
            </w:r>
          </w:p>
          <w:p>
            <w:pPr>
              <w:adjustRightInd w:val="0"/>
              <w:snapToGrid w:val="0"/>
              <w:ind w:firstLine="420" w:firstLineChars="200"/>
              <w:contextualSpacing/>
              <w:rPr>
                <w:rFonts w:hint="eastAsia"/>
                <w:bCs/>
                <w:szCs w:val="21"/>
              </w:rPr>
            </w:pPr>
            <w:r>
              <w:rPr>
                <w:bCs/>
                <w:szCs w:val="21"/>
              </w:rPr>
              <w:t>符合标准要求</w:t>
            </w:r>
            <w:r>
              <w:rPr>
                <w:rFonts w:hint="eastAsia"/>
                <w:bCs/>
                <w:szCs w:val="21"/>
              </w:rPr>
              <w:t>。</w:t>
            </w:r>
          </w:p>
          <w:p>
            <w:pPr>
              <w:adjustRightInd w:val="0"/>
              <w:snapToGrid w:val="0"/>
              <w:ind w:firstLine="420" w:firstLineChars="200"/>
              <w:contextualSpacing/>
              <w:rPr>
                <w:bCs/>
                <w:szCs w:val="21"/>
              </w:rPr>
            </w:pPr>
          </w:p>
        </w:tc>
        <w:tc>
          <w:tcPr>
            <w:tcW w:w="2410" w:type="dxa"/>
            <w:vAlign w:val="center"/>
          </w:tcPr>
          <w:p>
            <w:pPr>
              <w:rPr>
                <w:rFonts w:ascii="宋体" w:hAnsi="宋体" w:cs="宋体"/>
                <w:szCs w:val="21"/>
              </w:rPr>
            </w:pPr>
            <w:r>
              <w:rPr>
                <w:rFonts w:hint="eastAsia" w:ascii="宋体" w:hAnsi="宋体" w:cs="宋体"/>
                <w:szCs w:val="21"/>
              </w:rPr>
              <w:t>质检中心、安全环保部、动力车间、</w:t>
            </w:r>
            <w:r>
              <w:rPr>
                <w:rFonts w:hint="eastAsia"/>
                <w:szCs w:val="21"/>
              </w:rPr>
              <w:t>二元酸车间、汽油加氢联合车间、特油加氢联合车间。</w:t>
            </w:r>
            <w:r>
              <w:rPr>
                <w:rFonts w:hint="eastAsia" w:ascii="宋体" w:hAnsi="宋体"/>
                <w:bCs/>
                <w:szCs w:val="21"/>
              </w:rPr>
              <w:t>）</w:t>
            </w:r>
          </w:p>
        </w:tc>
        <w:tc>
          <w:tcPr>
            <w:tcW w:w="738" w:type="dxa"/>
            <w:vAlign w:val="center"/>
          </w:tcPr>
          <w:p>
            <w:pPr>
              <w:rPr>
                <w:rFonts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trPr>
        <w:tc>
          <w:tcPr>
            <w:tcW w:w="526" w:type="dxa"/>
            <w:vAlign w:val="center"/>
          </w:tcPr>
          <w:p>
            <w:pPr>
              <w:rPr>
                <w:rFonts w:ascii="宋体" w:hAnsi="宋体" w:cs="宋体"/>
                <w:szCs w:val="21"/>
              </w:rPr>
            </w:pPr>
            <w:r>
              <w:rPr>
                <w:rFonts w:hint="eastAsia" w:ascii="宋体" w:hAnsi="宋体" w:cs="宋体"/>
                <w:szCs w:val="21"/>
              </w:rPr>
              <w:t>6</w:t>
            </w:r>
          </w:p>
        </w:tc>
        <w:tc>
          <w:tcPr>
            <w:tcW w:w="1769" w:type="dxa"/>
            <w:vAlign w:val="center"/>
          </w:tcPr>
          <w:p>
            <w:pPr>
              <w:adjustRightInd w:val="0"/>
              <w:snapToGrid w:val="0"/>
              <w:contextualSpacing/>
              <w:rPr>
                <w:rFonts w:ascii="宋体" w:hAnsi="宋体"/>
                <w:szCs w:val="21"/>
              </w:rPr>
            </w:pPr>
            <w:r>
              <w:rPr>
                <w:rFonts w:hint="eastAsia" w:ascii="宋体" w:hAnsi="宋体"/>
                <w:szCs w:val="21"/>
              </w:rPr>
              <w:t>测量设备是否处于有效的校准状态？</w:t>
            </w:r>
          </w:p>
          <w:p>
            <w:pPr>
              <w:adjustRightInd w:val="0"/>
              <w:snapToGrid w:val="0"/>
              <w:contextualSpacing/>
              <w:rPr>
                <w:rFonts w:ascii="宋体" w:hAnsi="宋体"/>
                <w:szCs w:val="21"/>
              </w:rPr>
            </w:pPr>
            <w:r>
              <w:rPr>
                <w:rFonts w:hint="eastAsia" w:ascii="宋体" w:hAnsi="宋体"/>
                <w:szCs w:val="21"/>
              </w:rPr>
              <w:t>是否有计量确认状态标识</w:t>
            </w:r>
          </w:p>
          <w:p>
            <w:pPr>
              <w:adjustRightInd w:val="0"/>
              <w:snapToGrid w:val="0"/>
              <w:contextualSpacing/>
              <w:rPr>
                <w:szCs w:val="21"/>
              </w:rPr>
            </w:pPr>
          </w:p>
        </w:tc>
        <w:tc>
          <w:tcPr>
            <w:tcW w:w="1121" w:type="dxa"/>
            <w:vAlign w:val="center"/>
          </w:tcPr>
          <w:p>
            <w:pPr>
              <w:adjustRightInd w:val="0"/>
              <w:snapToGrid w:val="0"/>
              <w:contextualSpacing/>
              <w:rPr>
                <w:rFonts w:ascii="宋体" w:hAnsi="宋体"/>
                <w:szCs w:val="21"/>
              </w:rPr>
            </w:pPr>
            <w:r>
              <w:rPr>
                <w:rFonts w:hint="eastAsia" w:ascii="宋体" w:hAnsi="宋体"/>
                <w:szCs w:val="21"/>
              </w:rPr>
              <w:t>6.2.4标</w:t>
            </w:r>
          </w:p>
          <w:p>
            <w:pPr>
              <w:adjustRightInd w:val="0"/>
              <w:snapToGrid w:val="0"/>
              <w:contextualSpacing/>
              <w:rPr>
                <w:rFonts w:ascii="宋体" w:hAnsi="宋体"/>
                <w:szCs w:val="21"/>
              </w:rPr>
            </w:pPr>
            <w:r>
              <w:rPr>
                <w:rFonts w:ascii="宋体" w:hAnsi="宋体"/>
                <w:szCs w:val="21"/>
              </w:rPr>
              <w:t>识</w:t>
            </w:r>
          </w:p>
        </w:tc>
        <w:tc>
          <w:tcPr>
            <w:tcW w:w="3750" w:type="dxa"/>
            <w:vAlign w:val="center"/>
          </w:tcPr>
          <w:p>
            <w:pPr>
              <w:adjustRightInd w:val="0"/>
              <w:snapToGrid w:val="0"/>
              <w:ind w:firstLine="210" w:firstLineChars="100"/>
              <w:contextualSpacing/>
              <w:rPr>
                <w:rFonts w:hint="eastAsia"/>
                <w:szCs w:val="21"/>
              </w:rPr>
            </w:pPr>
          </w:p>
          <w:p>
            <w:pPr>
              <w:adjustRightInd w:val="0"/>
              <w:snapToGrid w:val="0"/>
              <w:ind w:firstLine="210" w:firstLineChars="100"/>
              <w:contextualSpacing/>
              <w:rPr>
                <w:szCs w:val="21"/>
              </w:rPr>
            </w:pPr>
            <w:r>
              <w:rPr>
                <w:szCs w:val="21"/>
              </w:rPr>
              <w:t>企业测量设备处于有效的校准状态</w:t>
            </w:r>
            <w:r>
              <w:rPr>
                <w:rFonts w:hint="eastAsia"/>
                <w:szCs w:val="21"/>
              </w:rPr>
              <w:t>，有计量确认标识，标识使用符合要求。</w:t>
            </w:r>
          </w:p>
          <w:p>
            <w:pPr>
              <w:adjustRightInd w:val="0"/>
              <w:snapToGrid w:val="0"/>
              <w:ind w:firstLine="210" w:firstLineChars="100"/>
              <w:contextualSpacing/>
              <w:rPr>
                <w:szCs w:val="21"/>
              </w:rPr>
            </w:pPr>
            <w:r>
              <w:rPr>
                <w:rFonts w:hint="eastAsia"/>
                <w:szCs w:val="21"/>
              </w:rPr>
              <w:t>查企业质检中心、安全环保部、动力车间、二元酸车间、汽油加氢联合车间、特油加氢联合车间，抽查现场测量设备，测量设备有计量确认标识，标识清晰，由淮安市计量测试中心、江苏省计量科学研究院进行检定/校准，且在有效期内使用。</w:t>
            </w:r>
          </w:p>
          <w:p>
            <w:pPr>
              <w:adjustRightInd w:val="0"/>
              <w:snapToGrid w:val="0"/>
              <w:ind w:firstLine="210" w:firstLineChars="100"/>
              <w:contextualSpacing/>
              <w:rPr>
                <w:szCs w:val="21"/>
              </w:rPr>
            </w:pPr>
            <w:r>
              <w:rPr>
                <w:rFonts w:hint="eastAsia"/>
                <w:szCs w:val="21"/>
              </w:rPr>
              <w:t>现场抽查质检中心：测量设备编号9790P1653、确认日期2021年3月4日，有效期2022年3月3日，确认人员葛玉娟；测量设备编号27-1901-01-0280、确认日期2021年3月4日，有效期2022年3月3日，确认人员葛玉娟；</w:t>
            </w:r>
          </w:p>
          <w:p>
            <w:pPr>
              <w:adjustRightInd w:val="0"/>
              <w:snapToGrid w:val="0"/>
              <w:ind w:firstLine="210" w:firstLineChars="100"/>
              <w:contextualSpacing/>
              <w:rPr>
                <w:szCs w:val="21"/>
              </w:rPr>
            </w:pPr>
            <w:r>
              <w:rPr>
                <w:rFonts w:hint="eastAsia"/>
                <w:szCs w:val="21"/>
              </w:rPr>
              <w:t>特油加氢联合车间：编号FIQ1604、有效期2023年5月20日、确认人员花伟洋；编号FIQ1302、有效期2023年5月20日；编号AT1209、有效期2021年5月20日；</w:t>
            </w:r>
          </w:p>
          <w:p>
            <w:pPr>
              <w:adjustRightInd w:val="0"/>
              <w:snapToGrid w:val="0"/>
              <w:ind w:firstLine="210" w:firstLineChars="100"/>
              <w:contextualSpacing/>
              <w:rPr>
                <w:szCs w:val="21"/>
              </w:rPr>
            </w:pPr>
            <w:r>
              <w:rPr>
                <w:rFonts w:hint="eastAsia"/>
                <w:szCs w:val="21"/>
              </w:rPr>
              <w:t>二元酸车间：QJ-EYS-AT2100-005可燃气体报警器，确认日期2021年5月20日，有效期：</w:t>
            </w:r>
            <w:r>
              <w:rPr>
                <w:szCs w:val="21"/>
              </w:rPr>
              <w:t>202</w:t>
            </w:r>
            <w:r>
              <w:rPr>
                <w:rFonts w:hint="eastAsia"/>
                <w:szCs w:val="21"/>
              </w:rPr>
              <w:t>1年</w:t>
            </w:r>
            <w:r>
              <w:rPr>
                <w:szCs w:val="21"/>
              </w:rPr>
              <w:t>5</w:t>
            </w:r>
            <w:r>
              <w:rPr>
                <w:rFonts w:hint="eastAsia"/>
                <w:szCs w:val="21"/>
              </w:rPr>
              <w:t>月19</w:t>
            </w:r>
            <w:r>
              <w:rPr>
                <w:szCs w:val="21"/>
              </w:rPr>
              <w:t>日</w:t>
            </w:r>
            <w:r>
              <w:rPr>
                <w:rFonts w:hint="eastAsia"/>
                <w:szCs w:val="21"/>
              </w:rPr>
              <w:t>，确认人员张印。</w:t>
            </w:r>
          </w:p>
          <w:p>
            <w:pPr>
              <w:adjustRightInd w:val="0"/>
              <w:snapToGrid w:val="0"/>
              <w:ind w:firstLine="210" w:firstLineChars="100"/>
              <w:contextualSpacing/>
              <w:rPr>
                <w:rFonts w:ascii="宋体" w:hAnsi="宋体"/>
                <w:bCs/>
                <w:szCs w:val="21"/>
              </w:rPr>
            </w:pPr>
            <w:r>
              <w:rPr>
                <w:szCs w:val="21"/>
              </w:rPr>
              <w:t>符合标准要求</w:t>
            </w:r>
            <w:r>
              <w:rPr>
                <w:rFonts w:hint="eastAsia"/>
                <w:szCs w:val="21"/>
              </w:rPr>
              <w:t>。</w:t>
            </w:r>
          </w:p>
        </w:tc>
        <w:tc>
          <w:tcPr>
            <w:tcW w:w="2410" w:type="dxa"/>
            <w:vAlign w:val="center"/>
          </w:tcPr>
          <w:p>
            <w:pPr>
              <w:rPr>
                <w:rFonts w:ascii="宋体" w:hAnsi="宋体" w:cs="宋体"/>
                <w:szCs w:val="21"/>
              </w:rPr>
            </w:pPr>
            <w:r>
              <w:rPr>
                <w:rFonts w:hint="eastAsia" w:ascii="宋体" w:hAnsi="宋体" w:cs="宋体"/>
                <w:szCs w:val="21"/>
              </w:rPr>
              <w:t>质检中心、安全环保部、动力车间、</w:t>
            </w:r>
            <w:r>
              <w:rPr>
                <w:rFonts w:hint="eastAsia"/>
                <w:szCs w:val="21"/>
              </w:rPr>
              <w:t>二元酸车间、汽油加氢联合车间、特油加氢联合车间。</w:t>
            </w:r>
          </w:p>
        </w:tc>
        <w:tc>
          <w:tcPr>
            <w:tcW w:w="738" w:type="dxa"/>
            <w:vAlign w:val="center"/>
          </w:tcPr>
          <w:p>
            <w:pPr>
              <w:rPr>
                <w:rFonts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trPr>
        <w:tc>
          <w:tcPr>
            <w:tcW w:w="526" w:type="dxa"/>
            <w:vAlign w:val="center"/>
          </w:tcPr>
          <w:p>
            <w:pPr>
              <w:rPr>
                <w:rFonts w:ascii="宋体" w:hAnsi="宋体" w:cs="宋体"/>
                <w:szCs w:val="21"/>
              </w:rPr>
            </w:pPr>
            <w:r>
              <w:rPr>
                <w:rFonts w:hint="eastAsia" w:ascii="宋体" w:hAnsi="宋体" w:cs="宋体"/>
                <w:szCs w:val="21"/>
              </w:rPr>
              <w:t>7</w:t>
            </w:r>
          </w:p>
        </w:tc>
        <w:tc>
          <w:tcPr>
            <w:tcW w:w="1769" w:type="dxa"/>
            <w:vAlign w:val="center"/>
          </w:tcPr>
          <w:p>
            <w:pPr>
              <w:spacing w:line="440" w:lineRule="exact"/>
              <w:rPr>
                <w:rFonts w:ascii="宋体" w:hAnsi="宋体"/>
                <w:color w:val="000000" w:themeColor="text1"/>
                <w:szCs w:val="21"/>
              </w:rPr>
            </w:pPr>
            <w:r>
              <w:rPr>
                <w:rFonts w:hint="eastAsia" w:ascii="宋体" w:hAnsi="宋体"/>
                <w:color w:val="000000" w:themeColor="text1"/>
                <w:szCs w:val="21"/>
              </w:rPr>
              <w:t>查测量</w:t>
            </w:r>
            <w:r>
              <w:rPr>
                <w:rFonts w:ascii="宋体" w:hAnsi="宋体"/>
                <w:color w:val="000000" w:themeColor="text1"/>
                <w:szCs w:val="21"/>
              </w:rPr>
              <w:t>设备台帐，是</w:t>
            </w:r>
            <w:r>
              <w:rPr>
                <w:rFonts w:hint="eastAsia" w:ascii="宋体" w:hAnsi="宋体"/>
                <w:color w:val="000000" w:themeColor="text1"/>
                <w:szCs w:val="21"/>
              </w:rPr>
              <w:t>否</w:t>
            </w:r>
            <w:r>
              <w:rPr>
                <w:rFonts w:ascii="宋体" w:hAnsi="宋体"/>
                <w:color w:val="000000" w:themeColor="text1"/>
                <w:szCs w:val="21"/>
              </w:rPr>
              <w:t>包括监视设备和标准物质</w:t>
            </w:r>
            <w:r>
              <w:rPr>
                <w:rFonts w:hint="eastAsia" w:ascii="宋体" w:hAnsi="宋体"/>
                <w:color w:val="000000" w:themeColor="text1"/>
                <w:szCs w:val="21"/>
              </w:rPr>
              <w:t>等</w:t>
            </w:r>
            <w:r>
              <w:rPr>
                <w:rFonts w:ascii="宋体" w:hAnsi="宋体"/>
                <w:color w:val="000000" w:themeColor="text1"/>
                <w:szCs w:val="21"/>
              </w:rPr>
              <w:t>？</w:t>
            </w:r>
          </w:p>
          <w:p>
            <w:pPr>
              <w:spacing w:line="440" w:lineRule="exact"/>
              <w:rPr>
                <w:rFonts w:ascii="宋体" w:hAnsi="宋体"/>
                <w:color w:val="000000" w:themeColor="text1"/>
                <w:szCs w:val="21"/>
              </w:rPr>
            </w:pPr>
            <w:r>
              <w:rPr>
                <w:rFonts w:hint="eastAsia" w:ascii="宋体" w:hAnsi="宋体"/>
                <w:color w:val="000000" w:themeColor="text1"/>
                <w:szCs w:val="21"/>
              </w:rPr>
              <w:t>查使用</w:t>
            </w:r>
            <w:r>
              <w:rPr>
                <w:rFonts w:ascii="宋体" w:hAnsi="宋体"/>
                <w:color w:val="000000" w:themeColor="text1"/>
                <w:szCs w:val="21"/>
              </w:rPr>
              <w:t>现场</w:t>
            </w:r>
            <w:r>
              <w:rPr>
                <w:rFonts w:hint="eastAsia" w:ascii="宋体" w:hAnsi="宋体"/>
                <w:color w:val="000000" w:themeColor="text1"/>
                <w:szCs w:val="21"/>
              </w:rPr>
              <w:t>（1-2）台件测量设备的有关信息是否和检定证书台账信息一致。</w:t>
            </w:r>
          </w:p>
          <w:p>
            <w:pPr>
              <w:spacing w:line="440" w:lineRule="exact"/>
              <w:rPr>
                <w:rFonts w:ascii="宋体" w:hAnsi="宋体"/>
                <w:color w:val="000000" w:themeColor="text1"/>
                <w:szCs w:val="21"/>
              </w:rPr>
            </w:pPr>
            <w:r>
              <w:rPr>
                <w:rFonts w:hint="eastAsia" w:ascii="宋体" w:hAnsi="宋体"/>
                <w:color w:val="000000" w:themeColor="text1"/>
                <w:szCs w:val="21"/>
              </w:rPr>
              <w:t>规定</w:t>
            </w:r>
            <w:r>
              <w:rPr>
                <w:rFonts w:ascii="宋体" w:hAnsi="宋体"/>
                <w:color w:val="000000" w:themeColor="text1"/>
                <w:szCs w:val="21"/>
              </w:rPr>
              <w:t>了哪些测量设备纳入测量管理体系？</w:t>
            </w:r>
          </w:p>
          <w:p>
            <w:pPr>
              <w:spacing w:line="440" w:lineRule="exact"/>
              <w:rPr>
                <w:rFonts w:ascii="宋体" w:hAnsi="宋体"/>
                <w:color w:val="000000" w:themeColor="text1"/>
                <w:szCs w:val="21"/>
              </w:rPr>
            </w:pPr>
            <w:r>
              <w:rPr>
                <w:rFonts w:hint="eastAsia" w:ascii="宋体" w:hAnsi="宋体"/>
                <w:color w:val="000000" w:themeColor="text1"/>
                <w:szCs w:val="21"/>
              </w:rPr>
              <w:t>设备</w:t>
            </w:r>
            <w:r>
              <w:rPr>
                <w:rFonts w:ascii="宋体" w:hAnsi="宋体"/>
                <w:color w:val="000000" w:themeColor="text1"/>
                <w:szCs w:val="21"/>
              </w:rPr>
              <w:t>的维护管理</w:t>
            </w:r>
            <w:r>
              <w:rPr>
                <w:rFonts w:hint="eastAsia" w:ascii="宋体" w:hAnsi="宋体"/>
                <w:color w:val="000000" w:themeColor="text1"/>
                <w:szCs w:val="21"/>
              </w:rPr>
              <w:t>要</w:t>
            </w:r>
            <w:r>
              <w:rPr>
                <w:rFonts w:ascii="宋体" w:hAnsi="宋体"/>
                <w:color w:val="000000" w:themeColor="text1"/>
                <w:szCs w:val="21"/>
              </w:rPr>
              <w:t>求有哪些？</w:t>
            </w:r>
          </w:p>
          <w:p>
            <w:pPr>
              <w:adjustRightInd w:val="0"/>
              <w:snapToGrid w:val="0"/>
              <w:contextualSpacing/>
              <w:rPr>
                <w:rFonts w:ascii="宋体" w:hAnsi="宋体"/>
                <w:szCs w:val="21"/>
              </w:rPr>
            </w:pPr>
            <w:r>
              <w:rPr>
                <w:rFonts w:hint="eastAsia" w:ascii="宋体" w:hAnsi="宋体"/>
                <w:color w:val="000000" w:themeColor="text1"/>
                <w:szCs w:val="21"/>
              </w:rPr>
              <w:t>对</w:t>
            </w:r>
            <w:r>
              <w:rPr>
                <w:rFonts w:ascii="宋体" w:hAnsi="宋体"/>
                <w:color w:val="000000" w:themeColor="text1"/>
                <w:szCs w:val="21"/>
              </w:rPr>
              <w:t>测量设备的</w:t>
            </w:r>
            <w:r>
              <w:rPr>
                <w:rFonts w:hint="eastAsia" w:ascii="宋体" w:hAnsi="宋体"/>
                <w:color w:val="000000" w:themeColor="text1"/>
                <w:szCs w:val="21"/>
              </w:rPr>
              <w:t>溯源</w:t>
            </w:r>
            <w:r>
              <w:rPr>
                <w:rFonts w:ascii="宋体" w:hAnsi="宋体"/>
                <w:color w:val="000000" w:themeColor="text1"/>
                <w:szCs w:val="21"/>
              </w:rPr>
              <w:t>和受控要求？</w:t>
            </w:r>
          </w:p>
        </w:tc>
        <w:tc>
          <w:tcPr>
            <w:tcW w:w="1121" w:type="dxa"/>
            <w:vAlign w:val="center"/>
          </w:tcPr>
          <w:p>
            <w:pPr>
              <w:adjustRightInd w:val="0"/>
              <w:snapToGrid w:val="0"/>
              <w:contextualSpacing/>
              <w:rPr>
                <w:rFonts w:ascii="宋体" w:hAnsi="宋体"/>
                <w:szCs w:val="21"/>
              </w:rPr>
            </w:pPr>
            <w:r>
              <w:rPr>
                <w:rFonts w:hint="eastAsia" w:ascii="宋体" w:hAnsi="宋体"/>
                <w:szCs w:val="21"/>
              </w:rPr>
              <w:t>6.3.1测量设备</w:t>
            </w:r>
          </w:p>
        </w:tc>
        <w:tc>
          <w:tcPr>
            <w:tcW w:w="3750" w:type="dxa"/>
            <w:vAlign w:val="center"/>
          </w:tcPr>
          <w:p>
            <w:pPr>
              <w:adjustRightInd w:val="0"/>
              <w:snapToGrid w:val="0"/>
              <w:ind w:firstLine="420" w:firstLineChars="200"/>
              <w:contextualSpacing/>
              <w:rPr>
                <w:rFonts w:hint="eastAsia" w:ascii="宋体" w:hAnsi="宋体" w:cs="宋体"/>
                <w:szCs w:val="21"/>
              </w:rPr>
            </w:pPr>
          </w:p>
          <w:p>
            <w:pPr>
              <w:adjustRightInd w:val="0"/>
              <w:snapToGrid w:val="0"/>
              <w:ind w:firstLine="420" w:firstLineChars="200"/>
              <w:contextualSpacing/>
              <w:rPr>
                <w:rFonts w:ascii="宋体" w:hAnsi="宋体" w:cs="宋体"/>
                <w:szCs w:val="21"/>
              </w:rPr>
            </w:pPr>
            <w:r>
              <w:rPr>
                <w:rFonts w:hint="eastAsia" w:ascii="宋体" w:hAnsi="宋体" w:cs="宋体"/>
                <w:szCs w:val="21"/>
              </w:rPr>
              <w:t>查：质检中心：《质检中心仪器设备台账》包括监视设备，抽查现场测量设备：玻璃液体温度计有效期：</w:t>
            </w:r>
            <w:r>
              <w:rPr>
                <w:rFonts w:ascii="宋体" w:hAnsi="宋体" w:cs="宋体"/>
                <w:szCs w:val="21"/>
              </w:rPr>
              <w:t>202</w:t>
            </w:r>
            <w:r>
              <w:rPr>
                <w:rFonts w:hint="eastAsia" w:ascii="宋体" w:hAnsi="宋体" w:cs="宋体"/>
                <w:szCs w:val="21"/>
              </w:rPr>
              <w:t>1年4月</w:t>
            </w:r>
            <w:r>
              <w:rPr>
                <w:rFonts w:ascii="宋体" w:hAnsi="宋体" w:cs="宋体"/>
                <w:szCs w:val="21"/>
              </w:rPr>
              <w:t>2</w:t>
            </w:r>
            <w:r>
              <w:rPr>
                <w:rFonts w:hint="eastAsia" w:ascii="宋体" w:hAnsi="宋体" w:cs="宋体"/>
                <w:szCs w:val="21"/>
              </w:rPr>
              <w:t>9</w:t>
            </w:r>
            <w:r>
              <w:rPr>
                <w:rFonts w:ascii="宋体" w:hAnsi="宋体" w:cs="宋体"/>
                <w:szCs w:val="21"/>
              </w:rPr>
              <w:t>日</w:t>
            </w:r>
            <w:r>
              <w:rPr>
                <w:rFonts w:hint="eastAsia" w:ascii="宋体" w:hAnsi="宋体" w:cs="宋体"/>
                <w:szCs w:val="21"/>
              </w:rPr>
              <w:t>，石油液体密度计有效期：</w:t>
            </w:r>
            <w:r>
              <w:rPr>
                <w:rFonts w:ascii="宋体" w:hAnsi="宋体" w:cs="宋体"/>
                <w:szCs w:val="21"/>
              </w:rPr>
              <w:t>202</w:t>
            </w:r>
            <w:r>
              <w:rPr>
                <w:rFonts w:hint="eastAsia" w:ascii="宋体" w:hAnsi="宋体" w:cs="宋体"/>
                <w:szCs w:val="21"/>
              </w:rPr>
              <w:t>1年7月</w:t>
            </w:r>
            <w:r>
              <w:rPr>
                <w:rFonts w:ascii="宋体" w:hAnsi="宋体" w:cs="宋体"/>
                <w:szCs w:val="21"/>
              </w:rPr>
              <w:t>2</w:t>
            </w:r>
            <w:r>
              <w:rPr>
                <w:rFonts w:hint="eastAsia" w:ascii="宋体" w:hAnsi="宋体" w:cs="宋体"/>
                <w:szCs w:val="21"/>
              </w:rPr>
              <w:t>6</w:t>
            </w:r>
            <w:r>
              <w:rPr>
                <w:rFonts w:ascii="宋体" w:hAnsi="宋体" w:cs="宋体"/>
                <w:szCs w:val="21"/>
              </w:rPr>
              <w:t>日</w:t>
            </w:r>
            <w:r>
              <w:rPr>
                <w:rFonts w:hint="eastAsia" w:ascii="宋体" w:hAnsi="宋体" w:cs="宋体"/>
                <w:szCs w:val="21"/>
              </w:rPr>
              <w:t>，相关信息和检定证书台账信息一致、安全环保部</w:t>
            </w:r>
          </w:p>
          <w:p>
            <w:pPr>
              <w:adjustRightInd w:val="0"/>
              <w:snapToGrid w:val="0"/>
              <w:ind w:firstLine="420" w:firstLineChars="200"/>
              <w:contextualSpacing/>
              <w:rPr>
                <w:rFonts w:ascii="宋体" w:hAnsi="宋体" w:cs="宋体"/>
                <w:szCs w:val="21"/>
              </w:rPr>
            </w:pPr>
            <w:r>
              <w:rPr>
                <w:rFonts w:hint="eastAsia" w:ascii="宋体" w:hAnsi="宋体" w:cs="宋体"/>
                <w:szCs w:val="21"/>
              </w:rPr>
              <w:t>动力车间：《测量设备台账》共有测量设备330台件，现场抽查编号为</w:t>
            </w:r>
            <w:r>
              <w:rPr>
                <w:rFonts w:ascii="宋体" w:hAnsi="宋体" w:cs="宋体"/>
                <w:szCs w:val="21"/>
              </w:rPr>
              <w:t>6549815</w:t>
            </w:r>
            <w:r>
              <w:rPr>
                <w:rFonts w:hint="eastAsia" w:ascii="宋体" w:hAnsi="宋体" w:cs="宋体"/>
                <w:szCs w:val="21"/>
              </w:rPr>
              <w:t>可燃气体报警器，有效期：</w:t>
            </w:r>
            <w:r>
              <w:rPr>
                <w:rFonts w:ascii="宋体" w:hAnsi="宋体" w:cs="宋体"/>
                <w:szCs w:val="21"/>
              </w:rPr>
              <w:t>202</w:t>
            </w:r>
            <w:r>
              <w:rPr>
                <w:rFonts w:hint="eastAsia" w:ascii="宋体" w:hAnsi="宋体" w:cs="宋体"/>
                <w:szCs w:val="21"/>
              </w:rPr>
              <w:t>1年</w:t>
            </w:r>
            <w:r>
              <w:rPr>
                <w:rFonts w:ascii="宋体" w:hAnsi="宋体" w:cs="宋体"/>
                <w:szCs w:val="21"/>
              </w:rPr>
              <w:t>5</w:t>
            </w:r>
            <w:r>
              <w:rPr>
                <w:rFonts w:hint="eastAsia" w:ascii="宋体" w:hAnsi="宋体" w:cs="宋体"/>
                <w:szCs w:val="21"/>
              </w:rPr>
              <w:t>月</w:t>
            </w:r>
            <w:r>
              <w:rPr>
                <w:rFonts w:ascii="宋体" w:hAnsi="宋体" w:cs="宋体"/>
                <w:szCs w:val="21"/>
              </w:rPr>
              <w:t>27日</w:t>
            </w:r>
            <w:r>
              <w:rPr>
                <w:rFonts w:hint="eastAsia" w:ascii="宋体" w:hAnsi="宋体" w:cs="宋体"/>
                <w:szCs w:val="21"/>
              </w:rPr>
              <w:t>，相关信息和检定证书台账信息一致；</w:t>
            </w:r>
          </w:p>
          <w:p>
            <w:pPr>
              <w:adjustRightInd w:val="0"/>
              <w:snapToGrid w:val="0"/>
              <w:ind w:firstLine="420" w:firstLineChars="200"/>
              <w:contextualSpacing/>
              <w:rPr>
                <w:rFonts w:ascii="宋体" w:hAnsi="宋体" w:cs="宋体"/>
                <w:szCs w:val="21"/>
              </w:rPr>
            </w:pPr>
            <w:r>
              <w:rPr>
                <w:rFonts w:hint="eastAsia"/>
                <w:szCs w:val="21"/>
              </w:rPr>
              <w:t>二元酸车间：</w:t>
            </w:r>
            <w:r>
              <w:rPr>
                <w:rFonts w:hint="eastAsia" w:ascii="宋体" w:hAnsi="宋体" w:cs="宋体"/>
                <w:szCs w:val="21"/>
              </w:rPr>
              <w:t>《测量设备台账》共有测量设备</w:t>
            </w:r>
            <w:r>
              <w:rPr>
                <w:rFonts w:hint="eastAsia" w:ascii="宋体" w:hAnsi="宋体" w:cs="宋体"/>
                <w:color w:val="000000" w:themeColor="text1"/>
                <w:szCs w:val="21"/>
              </w:rPr>
              <w:t>369</w:t>
            </w:r>
            <w:r>
              <w:rPr>
                <w:rFonts w:hint="eastAsia" w:ascii="宋体" w:hAnsi="宋体" w:cs="宋体"/>
                <w:szCs w:val="21"/>
              </w:rPr>
              <w:t>台件，现场抽查编号为QJ-EYS-AT2100-005,可燃气体报警器，有效期：</w:t>
            </w:r>
            <w:r>
              <w:rPr>
                <w:rFonts w:ascii="宋体" w:hAnsi="宋体" w:cs="宋体"/>
                <w:szCs w:val="21"/>
              </w:rPr>
              <w:t>202</w:t>
            </w:r>
            <w:r>
              <w:rPr>
                <w:rFonts w:hint="eastAsia" w:ascii="宋体" w:hAnsi="宋体" w:cs="宋体"/>
                <w:szCs w:val="21"/>
              </w:rPr>
              <w:t>1年</w:t>
            </w:r>
            <w:r>
              <w:rPr>
                <w:rFonts w:ascii="宋体" w:hAnsi="宋体" w:cs="宋体"/>
                <w:szCs w:val="21"/>
              </w:rPr>
              <w:t>5</w:t>
            </w:r>
            <w:r>
              <w:rPr>
                <w:rFonts w:hint="eastAsia" w:ascii="宋体" w:hAnsi="宋体" w:cs="宋体"/>
                <w:szCs w:val="21"/>
              </w:rPr>
              <w:t>月19</w:t>
            </w:r>
            <w:r>
              <w:rPr>
                <w:rFonts w:ascii="宋体" w:hAnsi="宋体" w:cs="宋体"/>
                <w:szCs w:val="21"/>
              </w:rPr>
              <w:t>日</w:t>
            </w:r>
            <w:r>
              <w:rPr>
                <w:rFonts w:hint="eastAsia" w:ascii="宋体" w:hAnsi="宋体" w:cs="宋体"/>
                <w:szCs w:val="21"/>
              </w:rPr>
              <w:t>，相关信息和检定证书台账信息一致；</w:t>
            </w:r>
          </w:p>
          <w:p>
            <w:pPr>
              <w:adjustRightInd w:val="0"/>
              <w:snapToGrid w:val="0"/>
              <w:ind w:firstLine="420" w:firstLineChars="200"/>
              <w:contextualSpacing/>
              <w:rPr>
                <w:rFonts w:ascii="宋体" w:hAnsi="宋体" w:cs="宋体"/>
                <w:szCs w:val="21"/>
              </w:rPr>
            </w:pPr>
            <w:r>
              <w:rPr>
                <w:rFonts w:hint="eastAsia"/>
                <w:szCs w:val="21"/>
              </w:rPr>
              <w:t>汽油加氢联合车间：</w:t>
            </w:r>
            <w:r>
              <w:rPr>
                <w:rFonts w:hint="eastAsia" w:ascii="宋体" w:hAnsi="宋体" w:cs="宋体"/>
                <w:szCs w:val="21"/>
              </w:rPr>
              <w:t>《测量设备台账》共有测量设备114台件，现场抽查编号为QJ-QYJQ-AT29207，可燃气体报警器，有效期：</w:t>
            </w:r>
            <w:r>
              <w:rPr>
                <w:rFonts w:ascii="宋体" w:hAnsi="宋体" w:cs="宋体"/>
                <w:szCs w:val="21"/>
              </w:rPr>
              <w:t>202</w:t>
            </w:r>
            <w:r>
              <w:rPr>
                <w:rFonts w:hint="eastAsia" w:ascii="宋体" w:hAnsi="宋体" w:cs="宋体"/>
                <w:szCs w:val="21"/>
              </w:rPr>
              <w:t>1年</w:t>
            </w:r>
            <w:r>
              <w:rPr>
                <w:rFonts w:ascii="宋体" w:hAnsi="宋体" w:cs="宋体"/>
                <w:szCs w:val="21"/>
              </w:rPr>
              <w:t>5</w:t>
            </w:r>
            <w:r>
              <w:rPr>
                <w:rFonts w:hint="eastAsia" w:ascii="宋体" w:hAnsi="宋体" w:cs="宋体"/>
                <w:szCs w:val="21"/>
              </w:rPr>
              <w:t>月</w:t>
            </w:r>
            <w:r>
              <w:rPr>
                <w:rFonts w:ascii="宋体" w:hAnsi="宋体" w:cs="宋体"/>
                <w:szCs w:val="21"/>
              </w:rPr>
              <w:t>27日</w:t>
            </w:r>
            <w:r>
              <w:rPr>
                <w:rFonts w:hint="eastAsia" w:ascii="宋体" w:hAnsi="宋体" w:cs="宋体"/>
                <w:szCs w:val="21"/>
              </w:rPr>
              <w:t>，相关信息和检定证书台账信息一致；</w:t>
            </w:r>
          </w:p>
          <w:p>
            <w:pPr>
              <w:adjustRightInd w:val="0"/>
              <w:snapToGrid w:val="0"/>
              <w:ind w:firstLine="420" w:firstLineChars="200"/>
              <w:contextualSpacing/>
              <w:rPr>
                <w:rFonts w:ascii="宋体" w:hAnsi="宋体" w:cs="宋体"/>
                <w:szCs w:val="21"/>
              </w:rPr>
            </w:pPr>
            <w:r>
              <w:rPr>
                <w:rFonts w:hint="eastAsia"/>
                <w:szCs w:val="21"/>
              </w:rPr>
              <w:t>特油加氢联合车间，</w:t>
            </w:r>
            <w:r>
              <w:rPr>
                <w:rFonts w:hint="eastAsia" w:ascii="宋体" w:hAnsi="宋体" w:cs="宋体"/>
                <w:szCs w:val="21"/>
              </w:rPr>
              <w:t>《测量设备台账》共有测量设备544台件，现场抽查编号为QJ-TYJQ-AT1001可燃气体报警器，有效期：</w:t>
            </w:r>
            <w:r>
              <w:rPr>
                <w:rFonts w:ascii="宋体" w:hAnsi="宋体" w:cs="宋体"/>
                <w:szCs w:val="21"/>
              </w:rPr>
              <w:t>202</w:t>
            </w:r>
            <w:r>
              <w:rPr>
                <w:rFonts w:hint="eastAsia" w:ascii="宋体" w:hAnsi="宋体" w:cs="宋体"/>
                <w:szCs w:val="21"/>
              </w:rPr>
              <w:t>1年</w:t>
            </w:r>
            <w:r>
              <w:rPr>
                <w:rFonts w:ascii="宋体" w:hAnsi="宋体" w:cs="宋体"/>
                <w:szCs w:val="21"/>
              </w:rPr>
              <w:t>5</w:t>
            </w:r>
            <w:r>
              <w:rPr>
                <w:rFonts w:hint="eastAsia" w:ascii="宋体" w:hAnsi="宋体" w:cs="宋体"/>
                <w:szCs w:val="21"/>
              </w:rPr>
              <w:t>月19</w:t>
            </w:r>
            <w:r>
              <w:rPr>
                <w:rFonts w:ascii="宋体" w:hAnsi="宋体" w:cs="宋体"/>
                <w:szCs w:val="21"/>
              </w:rPr>
              <w:t>日</w:t>
            </w:r>
            <w:r>
              <w:rPr>
                <w:rFonts w:hint="eastAsia" w:ascii="宋体" w:hAnsi="宋体" w:cs="宋体"/>
                <w:szCs w:val="21"/>
              </w:rPr>
              <w:t>，相关信息和检定证书台账信息一致。</w:t>
            </w:r>
          </w:p>
          <w:p>
            <w:pPr>
              <w:adjustRightInd w:val="0"/>
              <w:snapToGrid w:val="0"/>
              <w:ind w:firstLine="420" w:firstLineChars="200"/>
              <w:contextualSpacing/>
              <w:rPr>
                <w:rFonts w:hint="eastAsia" w:ascii="宋体" w:hAnsi="宋体" w:cs="宋体"/>
                <w:szCs w:val="21"/>
              </w:rPr>
            </w:pPr>
            <w:r>
              <w:rPr>
                <w:rFonts w:ascii="宋体" w:hAnsi="宋体" w:cs="宋体"/>
                <w:szCs w:val="21"/>
              </w:rPr>
              <w:t>符合标准要求</w:t>
            </w:r>
            <w:r>
              <w:rPr>
                <w:rFonts w:hint="eastAsia" w:ascii="宋体" w:hAnsi="宋体" w:cs="宋体"/>
                <w:szCs w:val="21"/>
              </w:rPr>
              <w:t>。</w:t>
            </w:r>
          </w:p>
          <w:p>
            <w:pPr>
              <w:adjustRightInd w:val="0"/>
              <w:snapToGrid w:val="0"/>
              <w:ind w:firstLine="420" w:firstLineChars="200"/>
              <w:contextualSpacing/>
              <w:rPr>
                <w:rFonts w:ascii="宋体" w:hAnsi="宋体" w:cs="宋体"/>
                <w:szCs w:val="21"/>
              </w:rPr>
            </w:pPr>
          </w:p>
        </w:tc>
        <w:tc>
          <w:tcPr>
            <w:tcW w:w="2410" w:type="dxa"/>
            <w:vAlign w:val="center"/>
          </w:tcPr>
          <w:p>
            <w:pPr>
              <w:rPr>
                <w:rFonts w:ascii="宋体" w:hAnsi="宋体" w:cs="宋体"/>
                <w:szCs w:val="21"/>
              </w:rPr>
            </w:pPr>
            <w:r>
              <w:rPr>
                <w:rFonts w:hint="eastAsia" w:ascii="宋体" w:hAnsi="宋体" w:cs="宋体"/>
                <w:szCs w:val="21"/>
              </w:rPr>
              <w:t>质检中心、安全环保部、动力车间、</w:t>
            </w:r>
            <w:r>
              <w:rPr>
                <w:rFonts w:hint="eastAsia"/>
                <w:szCs w:val="21"/>
              </w:rPr>
              <w:t>二元酸车间、汽油加氢联合车间、特油加氢联合车间</w:t>
            </w:r>
          </w:p>
        </w:tc>
        <w:tc>
          <w:tcPr>
            <w:tcW w:w="738" w:type="dxa"/>
            <w:vAlign w:val="center"/>
          </w:tcPr>
          <w:p>
            <w:pPr>
              <w:rPr>
                <w:rFonts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trPr>
        <w:tc>
          <w:tcPr>
            <w:tcW w:w="526" w:type="dxa"/>
            <w:vAlign w:val="center"/>
          </w:tcPr>
          <w:p>
            <w:pPr>
              <w:rPr>
                <w:rFonts w:ascii="宋体" w:hAnsi="宋体" w:cs="宋体"/>
                <w:szCs w:val="21"/>
              </w:rPr>
            </w:pPr>
            <w:r>
              <w:rPr>
                <w:rFonts w:hint="eastAsia" w:ascii="宋体" w:hAnsi="宋体" w:cs="宋体"/>
                <w:szCs w:val="21"/>
              </w:rPr>
              <w:t>8</w:t>
            </w:r>
          </w:p>
        </w:tc>
        <w:tc>
          <w:tcPr>
            <w:tcW w:w="1769" w:type="dxa"/>
            <w:vAlign w:val="center"/>
          </w:tcPr>
          <w:p>
            <w:pPr>
              <w:spacing w:line="360" w:lineRule="exact"/>
              <w:rPr>
                <w:rFonts w:ascii="宋体" w:hAnsi="宋体"/>
                <w:szCs w:val="21"/>
              </w:rPr>
            </w:pPr>
            <w:r>
              <w:rPr>
                <w:rFonts w:hint="eastAsia" w:ascii="宋体" w:hAnsi="宋体"/>
                <w:szCs w:val="21"/>
              </w:rPr>
              <w:t>使用环境条件是否满足要求？是否需要修正？</w:t>
            </w:r>
          </w:p>
          <w:p>
            <w:pPr>
              <w:adjustRightInd w:val="0"/>
              <w:snapToGrid w:val="0"/>
              <w:contextualSpacing/>
              <w:rPr>
                <w:rFonts w:ascii="宋体" w:hAnsi="宋体"/>
                <w:szCs w:val="21"/>
              </w:rPr>
            </w:pPr>
          </w:p>
        </w:tc>
        <w:tc>
          <w:tcPr>
            <w:tcW w:w="1121" w:type="dxa"/>
            <w:vAlign w:val="center"/>
          </w:tcPr>
          <w:p>
            <w:pPr>
              <w:adjustRightInd w:val="0"/>
              <w:snapToGrid w:val="0"/>
              <w:contextualSpacing/>
              <w:rPr>
                <w:rFonts w:ascii="宋体" w:hAnsi="宋体"/>
                <w:szCs w:val="21"/>
              </w:rPr>
            </w:pPr>
            <w:r>
              <w:rPr>
                <w:rFonts w:hint="eastAsia" w:ascii="宋体" w:hAnsi="宋体"/>
                <w:szCs w:val="21"/>
              </w:rPr>
              <w:t>6.3.2环境</w:t>
            </w:r>
          </w:p>
        </w:tc>
        <w:tc>
          <w:tcPr>
            <w:tcW w:w="3750" w:type="dxa"/>
            <w:vAlign w:val="center"/>
          </w:tcPr>
          <w:p>
            <w:pPr>
              <w:adjustRightInd w:val="0"/>
              <w:snapToGrid w:val="0"/>
              <w:ind w:firstLine="420" w:firstLineChars="200"/>
              <w:contextualSpacing/>
              <w:rPr>
                <w:rFonts w:hint="eastAsia" w:ascii="宋体" w:hAnsi="宋体" w:cs="宋体"/>
                <w:szCs w:val="21"/>
              </w:rPr>
            </w:pPr>
          </w:p>
          <w:p>
            <w:pPr>
              <w:adjustRightInd w:val="0"/>
              <w:snapToGrid w:val="0"/>
              <w:ind w:firstLine="420" w:firstLineChars="200"/>
              <w:contextualSpacing/>
              <w:rPr>
                <w:szCs w:val="21"/>
              </w:rPr>
            </w:pPr>
            <w:r>
              <w:rPr>
                <w:rFonts w:hint="eastAsia" w:ascii="宋体" w:hAnsi="宋体" w:cs="宋体"/>
                <w:szCs w:val="21"/>
              </w:rPr>
              <w:t>查</w:t>
            </w:r>
            <w:r>
              <w:rPr>
                <w:rFonts w:hint="eastAsia"/>
                <w:szCs w:val="21"/>
              </w:rPr>
              <w:t>质检中心：开展柴油润滑性检测，检测方法依据中华人民共和国石油化工行业标准SH/T0765-2005，标准中要求环境条件温度湿度满足图2 的对应的要求（温度的变化，湿度有对应要求），现场查看，已配备温湿度计，有环境温湿度计记录；</w:t>
            </w:r>
          </w:p>
          <w:p>
            <w:pPr>
              <w:adjustRightInd w:val="0"/>
              <w:snapToGrid w:val="0"/>
              <w:ind w:firstLine="420" w:firstLineChars="200"/>
              <w:contextualSpacing/>
              <w:rPr>
                <w:szCs w:val="21"/>
              </w:rPr>
            </w:pPr>
            <w:r>
              <w:rPr>
                <w:rFonts w:hint="eastAsia"/>
                <w:szCs w:val="21"/>
              </w:rPr>
              <w:t>现场使用的温度计、密度计，检测结果已经将检定证书中的修正值进行对应的修正。</w:t>
            </w:r>
          </w:p>
          <w:p>
            <w:pPr>
              <w:adjustRightInd w:val="0"/>
              <w:snapToGrid w:val="0"/>
              <w:ind w:firstLine="420" w:firstLineChars="200"/>
              <w:contextualSpacing/>
              <w:rPr>
                <w:szCs w:val="21"/>
              </w:rPr>
            </w:pPr>
            <w:r>
              <w:rPr>
                <w:rFonts w:hint="eastAsia" w:ascii="宋体" w:hAnsi="宋体" w:cs="宋体"/>
                <w:szCs w:val="21"/>
              </w:rPr>
              <w:t>安全环保部、动力车间、</w:t>
            </w:r>
            <w:r>
              <w:rPr>
                <w:rFonts w:hint="eastAsia"/>
                <w:szCs w:val="21"/>
              </w:rPr>
              <w:t>二元酸车间、汽油加氢联合车间、特油加氢联合车间，测量设备对环境没有要求。</w:t>
            </w:r>
          </w:p>
          <w:p>
            <w:pPr>
              <w:adjustRightInd w:val="0"/>
              <w:snapToGrid w:val="0"/>
              <w:ind w:firstLine="420" w:firstLineChars="200"/>
              <w:contextualSpacing/>
              <w:rPr>
                <w:rFonts w:hint="eastAsia"/>
                <w:szCs w:val="21"/>
              </w:rPr>
            </w:pPr>
            <w:r>
              <w:rPr>
                <w:rFonts w:hint="eastAsia"/>
                <w:szCs w:val="21"/>
              </w:rPr>
              <w:t>符合标准要求。</w:t>
            </w:r>
          </w:p>
          <w:p>
            <w:pPr>
              <w:adjustRightInd w:val="0"/>
              <w:snapToGrid w:val="0"/>
              <w:ind w:firstLine="420" w:firstLineChars="200"/>
              <w:contextualSpacing/>
              <w:rPr>
                <w:rFonts w:ascii="宋体" w:hAnsi="宋体" w:cs="宋体"/>
                <w:szCs w:val="21"/>
              </w:rPr>
            </w:pPr>
          </w:p>
        </w:tc>
        <w:tc>
          <w:tcPr>
            <w:tcW w:w="2410" w:type="dxa"/>
            <w:vAlign w:val="center"/>
          </w:tcPr>
          <w:p>
            <w:pPr>
              <w:rPr>
                <w:rFonts w:ascii="宋体" w:hAnsi="宋体" w:cs="宋体"/>
                <w:szCs w:val="21"/>
              </w:rPr>
            </w:pPr>
            <w:r>
              <w:rPr>
                <w:rFonts w:hint="eastAsia" w:ascii="宋体" w:hAnsi="宋体" w:cs="宋体"/>
                <w:szCs w:val="21"/>
              </w:rPr>
              <w:t>质检中心、安全环保部、动力车间、</w:t>
            </w:r>
            <w:r>
              <w:rPr>
                <w:rFonts w:hint="eastAsia"/>
                <w:szCs w:val="21"/>
              </w:rPr>
              <w:t>二元酸车间、汽油加氢联合车间、特油加氢联合车间</w:t>
            </w:r>
          </w:p>
        </w:tc>
        <w:tc>
          <w:tcPr>
            <w:tcW w:w="738" w:type="dxa"/>
            <w:vAlign w:val="center"/>
          </w:tcPr>
          <w:p>
            <w:pPr>
              <w:rPr>
                <w:rFonts w:ascii="宋体" w:hAnsi="宋体" w:cs="宋体"/>
                <w:szCs w:val="21"/>
              </w:rPr>
            </w:pPr>
            <w:r>
              <w:rPr>
                <w:rFonts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trPr>
        <w:tc>
          <w:tcPr>
            <w:tcW w:w="526" w:type="dxa"/>
            <w:vAlign w:val="center"/>
          </w:tcPr>
          <w:p>
            <w:pPr>
              <w:jc w:val="center"/>
              <w:rPr>
                <w:rFonts w:ascii="宋体" w:hAnsi="宋体" w:cs="宋体"/>
                <w:szCs w:val="21"/>
              </w:rPr>
            </w:pPr>
            <w:r>
              <w:rPr>
                <w:rFonts w:hint="eastAsia" w:ascii="宋体" w:hAnsi="宋体" w:cs="宋体"/>
                <w:szCs w:val="21"/>
              </w:rPr>
              <w:t>9</w:t>
            </w:r>
          </w:p>
        </w:tc>
        <w:tc>
          <w:tcPr>
            <w:tcW w:w="1769" w:type="dxa"/>
          </w:tcPr>
          <w:p>
            <w:pPr>
              <w:adjustRightInd w:val="0"/>
              <w:snapToGrid w:val="0"/>
              <w:contextualSpacing/>
              <w:rPr>
                <w:rFonts w:ascii="宋体" w:hAnsi="宋体"/>
                <w:szCs w:val="21"/>
              </w:rPr>
            </w:pPr>
          </w:p>
          <w:p>
            <w:pPr>
              <w:adjustRightInd w:val="0"/>
              <w:snapToGrid w:val="0"/>
              <w:contextualSpacing/>
              <w:rPr>
                <w:rFonts w:ascii="宋体" w:hAnsi="宋体"/>
                <w:szCs w:val="21"/>
              </w:rPr>
            </w:pPr>
          </w:p>
          <w:p>
            <w:pPr>
              <w:adjustRightInd w:val="0"/>
              <w:snapToGrid w:val="0"/>
              <w:contextualSpacing/>
              <w:rPr>
                <w:rFonts w:ascii="宋体" w:hAnsi="宋体"/>
                <w:szCs w:val="21"/>
              </w:rPr>
            </w:pPr>
          </w:p>
          <w:p>
            <w:pPr>
              <w:adjustRightInd w:val="0"/>
              <w:snapToGrid w:val="0"/>
              <w:contextualSpacing/>
              <w:rPr>
                <w:szCs w:val="21"/>
              </w:rPr>
            </w:pPr>
            <w:r>
              <w:rPr>
                <w:rFonts w:hint="eastAsia" w:ascii="宋体" w:hAnsi="宋体"/>
                <w:szCs w:val="21"/>
              </w:rPr>
              <w:t>部门测量要求是否都经识别？关键测量过程是否导出计量要求？测量设备验证方法是否正确？部门对验证不合格测量设备如何处理？抽查2-3个关键过程测量要求识别情况、验证方法是否正确。</w:t>
            </w:r>
          </w:p>
        </w:tc>
        <w:tc>
          <w:tcPr>
            <w:tcW w:w="1121" w:type="dxa"/>
            <w:vAlign w:val="center"/>
          </w:tcPr>
          <w:p>
            <w:pPr>
              <w:adjustRightInd w:val="0"/>
              <w:snapToGrid w:val="0"/>
              <w:contextualSpacing/>
              <w:rPr>
                <w:rFonts w:ascii="宋体" w:hAnsi="宋体"/>
                <w:szCs w:val="21"/>
              </w:rPr>
            </w:pPr>
            <w:r>
              <w:rPr>
                <w:rFonts w:hint="eastAsia" w:ascii="宋体" w:hAnsi="宋体"/>
                <w:szCs w:val="21"/>
              </w:rPr>
              <w:t>7.1.计量确认</w:t>
            </w:r>
          </w:p>
          <w:p>
            <w:pPr>
              <w:adjustRightInd w:val="0"/>
              <w:snapToGrid w:val="0"/>
              <w:contextualSpacing/>
              <w:rPr>
                <w:rFonts w:ascii="宋体" w:hAnsi="宋体"/>
                <w:szCs w:val="21"/>
              </w:rPr>
            </w:pPr>
          </w:p>
        </w:tc>
        <w:tc>
          <w:tcPr>
            <w:tcW w:w="3750" w:type="dxa"/>
          </w:tcPr>
          <w:p>
            <w:pPr>
              <w:ind w:firstLine="420" w:firstLineChars="200"/>
              <w:rPr>
                <w:rFonts w:hint="eastAsia" w:ascii="宋体" w:hAnsi="宋体"/>
                <w:szCs w:val="21"/>
              </w:rPr>
            </w:pPr>
          </w:p>
          <w:p>
            <w:pPr>
              <w:ind w:firstLine="420" w:firstLineChars="200"/>
              <w:rPr>
                <w:rFonts w:ascii="宋体" w:hAnsi="宋体"/>
                <w:szCs w:val="21"/>
              </w:rPr>
            </w:pPr>
            <w:r>
              <w:rPr>
                <w:rFonts w:hint="eastAsia" w:ascii="宋体" w:hAnsi="宋体"/>
                <w:szCs w:val="21"/>
              </w:rPr>
              <w:t>企业</w:t>
            </w:r>
            <w:bookmarkStart w:id="0" w:name="_Hlk25676660"/>
            <w:r>
              <w:rPr>
                <w:rFonts w:hint="eastAsia" w:ascii="宋体" w:hAnsi="宋体"/>
                <w:szCs w:val="21"/>
              </w:rPr>
              <w:t>编制QJSH-MMSPF-12-</w:t>
            </w:r>
            <w:r>
              <w:rPr>
                <w:rFonts w:ascii="宋体" w:hAnsi="宋体"/>
                <w:szCs w:val="21"/>
              </w:rPr>
              <w:t>2020</w:t>
            </w:r>
            <w:bookmarkEnd w:id="0"/>
            <w:r>
              <w:rPr>
                <w:rFonts w:hint="eastAsia" w:ascii="宋体" w:hAnsi="宋体"/>
                <w:szCs w:val="21"/>
              </w:rPr>
              <w:t>《测量设备计量确认管理程序》。质检中心、安全环保部、动力车间、二元酸车间、汽油加氢联合车间、特油加氢联合车间有测量设备《计量确认明细表》，测量设备进行了计量确认，关键测量过程已经导出计量要求，测量设备验证方法正确。现场查看，企业暂无不合格测量设备，测量设备满足预期使用要求。</w:t>
            </w:r>
          </w:p>
          <w:p>
            <w:pPr>
              <w:ind w:firstLine="420" w:firstLineChars="200"/>
              <w:rPr>
                <w:rFonts w:ascii="宋体" w:hAnsi="宋体"/>
                <w:szCs w:val="21"/>
              </w:rPr>
            </w:pPr>
            <w:r>
              <w:rPr>
                <w:rFonts w:hint="eastAsia" w:ascii="宋体" w:hAnsi="宋体"/>
                <w:szCs w:val="21"/>
              </w:rPr>
              <w:t>抽查重要测量过程：《柴油凝点测量过程》、《总排口废水PH测量过程》。</w:t>
            </w:r>
          </w:p>
          <w:p>
            <w:pPr>
              <w:ind w:firstLine="420" w:firstLineChars="200"/>
              <w:rPr>
                <w:rFonts w:hint="eastAsia" w:ascii="宋体" w:hAnsi="宋体"/>
                <w:szCs w:val="21"/>
              </w:rPr>
            </w:pPr>
            <w:r>
              <w:rPr>
                <w:rFonts w:hint="eastAsia" w:ascii="宋体" w:hAnsi="宋体"/>
                <w:szCs w:val="21"/>
              </w:rPr>
              <w:t>测量过程测量要求识别正确，计量性能测试方法正确。详见附件</w:t>
            </w:r>
          </w:p>
          <w:p>
            <w:pPr>
              <w:ind w:firstLine="420" w:firstLineChars="200"/>
              <w:rPr>
                <w:rFonts w:ascii="宋体" w:hAnsi="宋体"/>
                <w:szCs w:val="21"/>
              </w:rPr>
            </w:pPr>
          </w:p>
        </w:tc>
        <w:tc>
          <w:tcPr>
            <w:tcW w:w="2410" w:type="dxa"/>
            <w:vAlign w:val="center"/>
          </w:tcPr>
          <w:p>
            <w:pPr>
              <w:rPr>
                <w:rFonts w:ascii="宋体" w:hAnsi="宋体" w:cs="宋体"/>
                <w:szCs w:val="21"/>
              </w:rPr>
            </w:pPr>
            <w:r>
              <w:rPr>
                <w:rFonts w:hint="eastAsia" w:ascii="宋体" w:hAnsi="宋体" w:cs="宋体"/>
                <w:szCs w:val="21"/>
              </w:rPr>
              <w:t>质检中心、安全环保部、动力车间、</w:t>
            </w:r>
            <w:r>
              <w:rPr>
                <w:rFonts w:hint="eastAsia"/>
                <w:szCs w:val="21"/>
              </w:rPr>
              <w:t>二元酸车间、汽油加氢联合车间、特油加氢联合车间。</w:t>
            </w:r>
          </w:p>
        </w:tc>
        <w:tc>
          <w:tcPr>
            <w:tcW w:w="738" w:type="dxa"/>
            <w:vAlign w:val="center"/>
          </w:tcPr>
          <w:p>
            <w:pPr>
              <w:rPr>
                <w:rFonts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trPr>
        <w:tc>
          <w:tcPr>
            <w:tcW w:w="526" w:type="dxa"/>
            <w:vAlign w:val="center"/>
          </w:tcPr>
          <w:p>
            <w:pPr>
              <w:jc w:val="center"/>
              <w:rPr>
                <w:rFonts w:ascii="宋体" w:hAnsi="宋体" w:cs="宋体"/>
                <w:szCs w:val="21"/>
              </w:rPr>
            </w:pPr>
            <w:r>
              <w:rPr>
                <w:rFonts w:hint="eastAsia" w:ascii="宋体" w:hAnsi="宋体" w:cs="宋体"/>
                <w:szCs w:val="21"/>
              </w:rPr>
              <w:t>10</w:t>
            </w:r>
          </w:p>
        </w:tc>
        <w:tc>
          <w:tcPr>
            <w:tcW w:w="1769" w:type="dxa"/>
          </w:tcPr>
          <w:p>
            <w:pPr>
              <w:adjustRightInd w:val="0"/>
              <w:snapToGrid w:val="0"/>
              <w:contextualSpacing/>
              <w:rPr>
                <w:rFonts w:ascii="宋体" w:hAnsi="宋体"/>
                <w:szCs w:val="21"/>
              </w:rPr>
            </w:pPr>
          </w:p>
          <w:p>
            <w:pPr>
              <w:adjustRightInd w:val="0"/>
              <w:snapToGrid w:val="0"/>
              <w:contextualSpacing/>
              <w:rPr>
                <w:rFonts w:ascii="宋体" w:hAnsi="宋体"/>
                <w:szCs w:val="21"/>
              </w:rPr>
            </w:pPr>
          </w:p>
          <w:p>
            <w:pPr>
              <w:adjustRightInd w:val="0"/>
              <w:snapToGrid w:val="0"/>
              <w:contextualSpacing/>
              <w:rPr>
                <w:rFonts w:ascii="宋体" w:hAnsi="宋体"/>
                <w:szCs w:val="21"/>
              </w:rPr>
            </w:pPr>
          </w:p>
          <w:p>
            <w:pPr>
              <w:adjustRightInd w:val="0"/>
              <w:snapToGrid w:val="0"/>
              <w:contextualSpacing/>
              <w:rPr>
                <w:rFonts w:ascii="宋体" w:hAnsi="宋体" w:cs="宋体"/>
                <w:szCs w:val="21"/>
              </w:rPr>
            </w:pPr>
            <w:r>
              <w:rPr>
                <w:rFonts w:hint="eastAsia" w:ascii="宋体" w:hAnsi="宋体"/>
                <w:szCs w:val="21"/>
              </w:rPr>
              <w:t>部门对测量过程是如何管理的？测量过程识别？分类？如何保证关键测量过程受控？</w:t>
            </w:r>
          </w:p>
        </w:tc>
        <w:tc>
          <w:tcPr>
            <w:tcW w:w="1121" w:type="dxa"/>
            <w:vAlign w:val="center"/>
          </w:tcPr>
          <w:p>
            <w:pPr>
              <w:adjustRightInd w:val="0"/>
              <w:snapToGrid w:val="0"/>
              <w:contextualSpacing/>
              <w:rPr>
                <w:rFonts w:ascii="宋体" w:hAnsi="宋体"/>
                <w:szCs w:val="21"/>
              </w:rPr>
            </w:pPr>
            <w:r>
              <w:rPr>
                <w:rFonts w:hint="eastAsia" w:ascii="宋体" w:hAnsi="宋体"/>
                <w:szCs w:val="21"/>
              </w:rPr>
              <w:t>7.2测量过程</w:t>
            </w:r>
          </w:p>
          <w:p>
            <w:pPr>
              <w:adjustRightInd w:val="0"/>
              <w:snapToGrid w:val="0"/>
              <w:contextualSpacing/>
              <w:rPr>
                <w:rFonts w:ascii="宋体" w:hAnsi="宋体" w:cs="宋体"/>
                <w:szCs w:val="21"/>
              </w:rPr>
            </w:pPr>
          </w:p>
        </w:tc>
        <w:tc>
          <w:tcPr>
            <w:tcW w:w="3750" w:type="dxa"/>
          </w:tcPr>
          <w:p>
            <w:pPr>
              <w:ind w:firstLine="420" w:firstLineChars="200"/>
              <w:rPr>
                <w:rFonts w:hint="eastAsia" w:ascii="宋体" w:hAnsi="宋体" w:cs="宋体"/>
                <w:szCs w:val="22"/>
              </w:rPr>
            </w:pPr>
          </w:p>
          <w:p>
            <w:pPr>
              <w:ind w:firstLine="420" w:firstLineChars="200"/>
              <w:rPr>
                <w:rFonts w:ascii="宋体" w:hAnsi="宋体"/>
                <w:szCs w:val="21"/>
              </w:rPr>
            </w:pPr>
            <w:r>
              <w:rPr>
                <w:rFonts w:hint="eastAsia" w:ascii="宋体" w:hAnsi="宋体" w:cs="宋体"/>
                <w:szCs w:val="22"/>
              </w:rPr>
              <w:t>企业编制了《测量过程设计和实现管理程序》，</w:t>
            </w:r>
            <w:r>
              <w:rPr>
                <w:rFonts w:hint="eastAsia" w:ascii="宋体" w:hAnsi="宋体"/>
                <w:szCs w:val="21"/>
              </w:rPr>
              <w:t>对列入体系管理的重要测量过程控制和一般的测量过程控制的测量设备测量过程进行了识别，采用《计量确认和测量过程汇总一览表》进行汇总，按照控制规范中规定的频次进行监视。</w:t>
            </w:r>
          </w:p>
          <w:p>
            <w:pPr>
              <w:ind w:firstLine="420" w:firstLineChars="200"/>
              <w:jc w:val="left"/>
              <w:rPr>
                <w:rFonts w:ascii="宋体" w:hAnsi="宋体"/>
                <w:szCs w:val="21"/>
              </w:rPr>
            </w:pPr>
            <w:r>
              <w:rPr>
                <w:rFonts w:hint="eastAsia" w:ascii="宋体" w:hAnsi="宋体"/>
                <w:szCs w:val="21"/>
              </w:rPr>
              <w:t>查质检中心：识别158个测量过程，分为一般和重要两类管理；</w:t>
            </w:r>
          </w:p>
          <w:p>
            <w:pPr>
              <w:ind w:firstLine="420" w:firstLineChars="200"/>
              <w:jc w:val="left"/>
              <w:rPr>
                <w:rFonts w:ascii="宋体" w:hAnsi="宋体"/>
                <w:szCs w:val="21"/>
              </w:rPr>
            </w:pPr>
            <w:r>
              <w:rPr>
                <w:rFonts w:hint="eastAsia" w:ascii="宋体" w:hAnsi="宋体"/>
                <w:szCs w:val="21"/>
              </w:rPr>
              <w:t>动力车间：识别140个测量过程，分为一般和重要两类管理；</w:t>
            </w:r>
          </w:p>
          <w:p>
            <w:pPr>
              <w:ind w:firstLine="420" w:firstLineChars="200"/>
              <w:jc w:val="left"/>
              <w:rPr>
                <w:rFonts w:ascii="宋体" w:hAnsi="宋体"/>
                <w:szCs w:val="21"/>
              </w:rPr>
            </w:pPr>
            <w:r>
              <w:rPr>
                <w:rFonts w:hint="eastAsia" w:ascii="宋体" w:hAnsi="宋体"/>
                <w:szCs w:val="21"/>
              </w:rPr>
              <w:t>二元酸车间：识别51个测量过程，分为一般和重要两类管理；</w:t>
            </w:r>
          </w:p>
          <w:p>
            <w:pPr>
              <w:ind w:firstLine="420" w:firstLineChars="200"/>
              <w:jc w:val="left"/>
              <w:rPr>
                <w:rFonts w:ascii="宋体" w:hAnsi="宋体"/>
                <w:szCs w:val="21"/>
              </w:rPr>
            </w:pPr>
            <w:r>
              <w:rPr>
                <w:rFonts w:hint="eastAsia" w:ascii="宋体" w:hAnsi="宋体"/>
                <w:szCs w:val="21"/>
              </w:rPr>
              <w:t>特油加氢联合车间：149个测量过程，分为一般和重要两类管理</w:t>
            </w:r>
          </w:p>
          <w:p>
            <w:pPr>
              <w:adjustRightInd w:val="0"/>
              <w:snapToGrid w:val="0"/>
              <w:ind w:firstLine="420" w:firstLineChars="200"/>
              <w:contextualSpacing/>
              <w:rPr>
                <w:rFonts w:ascii="宋体" w:hAnsi="宋体"/>
                <w:szCs w:val="21"/>
              </w:rPr>
            </w:pPr>
            <w:r>
              <w:rPr>
                <w:rFonts w:hint="eastAsia" w:hAnsi="宋体"/>
                <w:szCs w:val="21"/>
              </w:rPr>
              <w:t>抽查</w:t>
            </w:r>
            <w:r>
              <w:rPr>
                <w:rFonts w:hint="eastAsia" w:ascii="宋体" w:hAnsi="宋体"/>
                <w:szCs w:val="21"/>
              </w:rPr>
              <w:t>了质检中心《柴油凝点测量过程》和《总排口废水PH测量过程》、进行了测量不确定度评定，对测量过程中的测量人员、测量方法、测量环境条件、测量设备进行了控制。</w:t>
            </w:r>
          </w:p>
          <w:p>
            <w:pPr>
              <w:adjustRightInd w:val="0"/>
              <w:snapToGrid w:val="0"/>
              <w:contextualSpacing/>
              <w:rPr>
                <w:rFonts w:ascii="宋体" w:hAnsi="宋体"/>
                <w:szCs w:val="21"/>
              </w:rPr>
            </w:pPr>
            <w:r>
              <w:rPr>
                <w:rFonts w:hint="eastAsia" w:ascii="宋体" w:hAnsi="宋体"/>
                <w:szCs w:val="21"/>
              </w:rPr>
              <w:t>查：《计量确认和测量过程汇总一览表》，一览表中计量单位、监视方法等信息填写正确，信息量齐全。</w:t>
            </w:r>
          </w:p>
          <w:p>
            <w:pPr>
              <w:adjustRightInd w:val="0"/>
              <w:snapToGrid w:val="0"/>
              <w:contextualSpacing/>
              <w:rPr>
                <w:rFonts w:hint="eastAsia" w:ascii="宋体" w:hAnsi="宋体"/>
                <w:szCs w:val="21"/>
              </w:rPr>
            </w:pPr>
            <w:r>
              <w:rPr>
                <w:rFonts w:hint="eastAsia" w:ascii="宋体" w:hAnsi="宋体"/>
                <w:szCs w:val="21"/>
              </w:rPr>
              <w:t xml:space="preserve">  符合标准要求。</w:t>
            </w:r>
          </w:p>
          <w:p>
            <w:pPr>
              <w:adjustRightInd w:val="0"/>
              <w:snapToGrid w:val="0"/>
              <w:contextualSpacing/>
              <w:rPr>
                <w:rFonts w:ascii="宋体" w:hAnsi="宋体"/>
                <w:szCs w:val="21"/>
              </w:rPr>
            </w:pPr>
          </w:p>
        </w:tc>
        <w:tc>
          <w:tcPr>
            <w:tcW w:w="2410" w:type="dxa"/>
            <w:vAlign w:val="center"/>
          </w:tcPr>
          <w:p>
            <w:pPr>
              <w:rPr>
                <w:rFonts w:ascii="宋体" w:hAnsi="宋体" w:cs="宋体"/>
                <w:szCs w:val="21"/>
              </w:rPr>
            </w:pPr>
            <w:r>
              <w:rPr>
                <w:rFonts w:hint="eastAsia" w:ascii="宋体" w:hAnsi="宋体" w:cs="宋体"/>
                <w:szCs w:val="21"/>
              </w:rPr>
              <w:t>质检中心、安全环保部、动力车间、</w:t>
            </w:r>
            <w:r>
              <w:rPr>
                <w:rFonts w:hint="eastAsia"/>
                <w:szCs w:val="21"/>
              </w:rPr>
              <w:t>二元酸车间、汽油加氢联合车间、特油加氢联合车间。</w:t>
            </w:r>
          </w:p>
        </w:tc>
        <w:tc>
          <w:tcPr>
            <w:tcW w:w="738" w:type="dxa"/>
            <w:vAlign w:val="center"/>
          </w:tcPr>
          <w:p>
            <w:pPr>
              <w:rPr>
                <w:rFonts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526" w:type="dxa"/>
            <w:vAlign w:val="center"/>
          </w:tcPr>
          <w:p>
            <w:pPr>
              <w:jc w:val="center"/>
              <w:rPr>
                <w:rFonts w:ascii="宋体" w:hAnsi="宋体" w:cs="宋体"/>
                <w:szCs w:val="21"/>
              </w:rPr>
            </w:pPr>
            <w:r>
              <w:rPr>
                <w:rFonts w:hint="eastAsia" w:ascii="宋体" w:hAnsi="宋体" w:cs="宋体"/>
                <w:szCs w:val="21"/>
              </w:rPr>
              <w:t>11</w:t>
            </w:r>
          </w:p>
        </w:tc>
        <w:tc>
          <w:tcPr>
            <w:tcW w:w="1769" w:type="dxa"/>
          </w:tcPr>
          <w:p>
            <w:pPr>
              <w:adjustRightInd w:val="0"/>
              <w:snapToGrid w:val="0"/>
              <w:contextualSpacing/>
              <w:rPr>
                <w:rFonts w:ascii="宋体" w:hAnsi="宋体"/>
                <w:szCs w:val="21"/>
              </w:rPr>
            </w:pPr>
          </w:p>
          <w:p>
            <w:pPr>
              <w:adjustRightInd w:val="0"/>
              <w:snapToGrid w:val="0"/>
              <w:contextualSpacing/>
              <w:rPr>
                <w:rFonts w:ascii="宋体" w:hAnsi="宋体"/>
                <w:szCs w:val="21"/>
              </w:rPr>
            </w:pPr>
          </w:p>
          <w:p>
            <w:pPr>
              <w:adjustRightInd w:val="0"/>
              <w:snapToGrid w:val="0"/>
              <w:contextualSpacing/>
              <w:rPr>
                <w:rFonts w:ascii="宋体" w:hAnsi="宋体"/>
                <w:szCs w:val="21"/>
              </w:rPr>
            </w:pPr>
          </w:p>
          <w:p>
            <w:pPr>
              <w:adjustRightInd w:val="0"/>
              <w:snapToGrid w:val="0"/>
              <w:contextualSpacing/>
              <w:rPr>
                <w:szCs w:val="21"/>
              </w:rPr>
            </w:pPr>
            <w:r>
              <w:rPr>
                <w:rFonts w:hint="eastAsia" w:ascii="宋体" w:hAnsi="宋体"/>
                <w:szCs w:val="21"/>
              </w:rPr>
              <w:t>测量不确定度是否形成文件？高度控制测量过程和校准测量设备是否评定测量不确定度？</w:t>
            </w:r>
          </w:p>
        </w:tc>
        <w:tc>
          <w:tcPr>
            <w:tcW w:w="1121" w:type="dxa"/>
            <w:vAlign w:val="center"/>
          </w:tcPr>
          <w:p>
            <w:pPr>
              <w:adjustRightInd w:val="0"/>
              <w:snapToGrid w:val="0"/>
              <w:contextualSpacing/>
              <w:rPr>
                <w:rFonts w:ascii="宋体" w:hAnsi="宋体"/>
                <w:szCs w:val="21"/>
              </w:rPr>
            </w:pPr>
            <w:r>
              <w:rPr>
                <w:rFonts w:hint="eastAsia" w:ascii="宋体" w:hAnsi="宋体"/>
                <w:szCs w:val="21"/>
              </w:rPr>
              <w:t>7.3.1测量不确定度</w:t>
            </w:r>
          </w:p>
        </w:tc>
        <w:tc>
          <w:tcPr>
            <w:tcW w:w="3750" w:type="dxa"/>
          </w:tcPr>
          <w:p>
            <w:pPr>
              <w:adjustRightInd w:val="0"/>
              <w:snapToGrid w:val="0"/>
              <w:ind w:firstLine="420" w:firstLineChars="200"/>
              <w:contextualSpacing/>
              <w:rPr>
                <w:rFonts w:hint="eastAsia" w:ascii="宋体" w:hAnsi="宋体" w:cs="宋体"/>
                <w:kern w:val="0"/>
                <w:position w:val="-4"/>
                <w:szCs w:val="21"/>
              </w:rPr>
            </w:pPr>
          </w:p>
          <w:p>
            <w:pPr>
              <w:adjustRightInd w:val="0"/>
              <w:snapToGrid w:val="0"/>
              <w:ind w:firstLine="420" w:firstLineChars="200"/>
              <w:contextualSpacing/>
              <w:rPr>
                <w:rFonts w:ascii="宋体" w:hAnsi="宋体" w:cs="宋体"/>
                <w:szCs w:val="21"/>
              </w:rPr>
            </w:pPr>
            <w:r>
              <w:rPr>
                <w:rFonts w:hint="eastAsia" w:ascii="宋体" w:hAnsi="宋体" w:cs="宋体"/>
                <w:kern w:val="0"/>
                <w:position w:val="-4"/>
                <w:szCs w:val="21"/>
              </w:rPr>
              <w:t>企业编制了</w:t>
            </w:r>
            <w:bookmarkStart w:id="1" w:name="_Hlk25676392"/>
            <w:r>
              <w:rPr>
                <w:rFonts w:hint="eastAsia" w:ascii="宋体" w:hAnsi="宋体" w:cs="宋体"/>
                <w:kern w:val="0"/>
                <w:position w:val="-4"/>
                <w:szCs w:val="21"/>
              </w:rPr>
              <w:t>QJSH-MMSPF-1</w:t>
            </w:r>
            <w:r>
              <w:rPr>
                <w:rFonts w:ascii="宋体" w:hAnsi="宋体" w:cs="宋体"/>
                <w:kern w:val="0"/>
                <w:position w:val="-4"/>
                <w:szCs w:val="21"/>
              </w:rPr>
              <w:t>5</w:t>
            </w:r>
            <w:r>
              <w:rPr>
                <w:rFonts w:hint="eastAsia" w:ascii="宋体" w:hAnsi="宋体" w:cs="宋体"/>
                <w:kern w:val="0"/>
                <w:position w:val="-4"/>
                <w:szCs w:val="21"/>
              </w:rPr>
              <w:t>-</w:t>
            </w:r>
            <w:r>
              <w:rPr>
                <w:rFonts w:ascii="宋体" w:hAnsi="宋体" w:cs="宋体"/>
                <w:kern w:val="0"/>
                <w:position w:val="-4"/>
                <w:szCs w:val="21"/>
              </w:rPr>
              <w:t>2020</w:t>
            </w:r>
            <w:bookmarkEnd w:id="1"/>
            <w:r>
              <w:rPr>
                <w:rFonts w:hint="eastAsia" w:ascii="宋体" w:hAnsi="宋体" w:cs="宋体"/>
                <w:kern w:val="0"/>
                <w:position w:val="-4"/>
                <w:szCs w:val="21"/>
              </w:rPr>
              <w:t>《</w:t>
            </w:r>
            <w:r>
              <w:rPr>
                <w:rFonts w:ascii="宋体" w:hAnsi="宋体" w:cs="宋体"/>
                <w:kern w:val="0"/>
                <w:position w:val="-4"/>
                <w:szCs w:val="21"/>
              </w:rPr>
              <w:t>测量不确定度管理程序</w:t>
            </w:r>
            <w:r>
              <w:rPr>
                <w:rFonts w:hint="eastAsia" w:ascii="宋体" w:hAnsi="宋体" w:cs="宋体"/>
                <w:kern w:val="0"/>
                <w:position w:val="-4"/>
                <w:szCs w:val="21"/>
              </w:rPr>
              <w:t>》</w:t>
            </w:r>
            <w:r>
              <w:rPr>
                <w:rFonts w:hint="eastAsia" w:ascii="宋体" w:hAnsi="宋体"/>
                <w:kern w:val="0"/>
                <w:szCs w:val="21"/>
              </w:rPr>
              <w:t>，</w:t>
            </w:r>
            <w:r>
              <w:rPr>
                <w:rFonts w:hint="eastAsia" w:ascii="宋体" w:hAnsi="宋体"/>
                <w:szCs w:val="21"/>
              </w:rPr>
              <w:t>测量不确定度形成文件</w:t>
            </w:r>
            <w:r>
              <w:rPr>
                <w:rFonts w:hint="eastAsia" w:ascii="宋体" w:hAnsi="宋体" w:cs="宋体"/>
                <w:kern w:val="0"/>
                <w:position w:val="-4"/>
                <w:szCs w:val="21"/>
              </w:rPr>
              <w:t>。关键过程进行了不确定度评定。</w:t>
            </w:r>
          </w:p>
          <w:p>
            <w:pPr>
              <w:ind w:firstLine="420" w:firstLineChars="200"/>
              <w:rPr>
                <w:szCs w:val="21"/>
              </w:rPr>
            </w:pPr>
            <w:r>
              <w:rPr>
                <w:rFonts w:hint="eastAsia" w:ascii="宋体" w:hAnsi="宋体" w:cs="宋体"/>
                <w:szCs w:val="21"/>
              </w:rPr>
              <w:t>抽查：质检中心</w:t>
            </w:r>
            <w:r>
              <w:rPr>
                <w:rFonts w:hint="eastAsia" w:ascii="宋体" w:hAnsi="宋体"/>
                <w:szCs w:val="21"/>
              </w:rPr>
              <w:t>《柴油凝点测量过程》和《总排口废水PH测量过程》，</w:t>
            </w:r>
            <w:r>
              <w:rPr>
                <w:rFonts w:hint="eastAsia" w:ascii="宋体" w:hAnsi="宋体" w:cs="宋体"/>
                <w:szCs w:val="21"/>
              </w:rPr>
              <w:t>测量结果不确定度分析，</w:t>
            </w:r>
            <w:r>
              <w:rPr>
                <w:rFonts w:hint="eastAsia"/>
                <w:szCs w:val="21"/>
              </w:rPr>
              <w:t>不确定度评定方法正确，具体见附件。</w:t>
            </w:r>
          </w:p>
          <w:p>
            <w:pPr>
              <w:rPr>
                <w:rFonts w:hint="eastAsia" w:ascii="宋体" w:hAnsi="宋体"/>
                <w:szCs w:val="21"/>
              </w:rPr>
            </w:pPr>
            <w:r>
              <w:rPr>
                <w:rFonts w:hint="eastAsia" w:ascii="宋体" w:hAnsi="宋体"/>
                <w:szCs w:val="21"/>
              </w:rPr>
              <w:t xml:space="preserve">  符合标准要求。</w:t>
            </w:r>
          </w:p>
          <w:p>
            <w:pPr>
              <w:rPr>
                <w:rFonts w:ascii="宋体" w:hAnsi="宋体"/>
                <w:szCs w:val="21"/>
              </w:rPr>
            </w:pPr>
          </w:p>
        </w:tc>
        <w:tc>
          <w:tcPr>
            <w:tcW w:w="2410" w:type="dxa"/>
            <w:vAlign w:val="center"/>
          </w:tcPr>
          <w:p>
            <w:pPr>
              <w:rPr>
                <w:rFonts w:ascii="宋体" w:hAnsi="宋体"/>
                <w:bCs/>
                <w:szCs w:val="21"/>
              </w:rPr>
            </w:pPr>
            <w:r>
              <w:rPr>
                <w:rFonts w:hint="eastAsia" w:ascii="宋体" w:hAnsi="宋体" w:cs="宋体"/>
                <w:szCs w:val="21"/>
              </w:rPr>
              <w:t>质检中心、安全环保部、动力车间、</w:t>
            </w:r>
            <w:r>
              <w:rPr>
                <w:rFonts w:hint="eastAsia"/>
                <w:szCs w:val="21"/>
              </w:rPr>
              <w:t>二元酸车间、汽油加氢联合车间、特油加氢联合车间。</w:t>
            </w:r>
          </w:p>
          <w:p>
            <w:pPr>
              <w:rPr>
                <w:rFonts w:ascii="宋体" w:hAnsi="宋体"/>
                <w:bCs/>
                <w:szCs w:val="21"/>
              </w:rPr>
            </w:pPr>
          </w:p>
          <w:p>
            <w:pPr>
              <w:rPr>
                <w:rFonts w:ascii="宋体" w:hAnsi="宋体"/>
                <w:bCs/>
                <w:szCs w:val="21"/>
              </w:rPr>
            </w:pPr>
          </w:p>
        </w:tc>
        <w:tc>
          <w:tcPr>
            <w:tcW w:w="738" w:type="dxa"/>
            <w:vAlign w:val="center"/>
          </w:tcPr>
          <w:p>
            <w:pPr>
              <w:rPr>
                <w:rFonts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526" w:type="dxa"/>
            <w:vAlign w:val="center"/>
          </w:tcPr>
          <w:p>
            <w:pPr>
              <w:jc w:val="center"/>
              <w:rPr>
                <w:rFonts w:ascii="宋体" w:hAnsi="宋体" w:cs="宋体"/>
                <w:szCs w:val="21"/>
              </w:rPr>
            </w:pPr>
            <w:r>
              <w:rPr>
                <w:rFonts w:hint="eastAsia" w:ascii="宋体" w:hAnsi="宋体" w:cs="宋体"/>
                <w:szCs w:val="21"/>
              </w:rPr>
              <w:t>12</w:t>
            </w:r>
          </w:p>
        </w:tc>
        <w:tc>
          <w:tcPr>
            <w:tcW w:w="1769" w:type="dxa"/>
          </w:tcPr>
          <w:p>
            <w:pPr>
              <w:adjustRightInd w:val="0"/>
              <w:snapToGrid w:val="0"/>
              <w:contextualSpacing/>
              <w:rPr>
                <w:rFonts w:ascii="宋体" w:hAnsi="宋体"/>
                <w:szCs w:val="21"/>
              </w:rPr>
            </w:pPr>
          </w:p>
          <w:p>
            <w:pPr>
              <w:adjustRightInd w:val="0"/>
              <w:snapToGrid w:val="0"/>
              <w:contextualSpacing/>
              <w:rPr>
                <w:rFonts w:ascii="宋体" w:hAnsi="宋体"/>
                <w:szCs w:val="21"/>
              </w:rPr>
            </w:pPr>
          </w:p>
          <w:p>
            <w:pPr>
              <w:adjustRightInd w:val="0"/>
              <w:snapToGrid w:val="0"/>
              <w:contextualSpacing/>
              <w:rPr>
                <w:rFonts w:ascii="宋体" w:hAnsi="宋体"/>
                <w:szCs w:val="21"/>
              </w:rPr>
            </w:pPr>
          </w:p>
          <w:p>
            <w:pPr>
              <w:adjustRightInd w:val="0"/>
              <w:snapToGrid w:val="0"/>
              <w:contextualSpacing/>
              <w:rPr>
                <w:rFonts w:ascii="宋体" w:hAnsi="宋体"/>
                <w:szCs w:val="21"/>
              </w:rPr>
            </w:pPr>
          </w:p>
          <w:p>
            <w:pPr>
              <w:adjustRightInd w:val="0"/>
              <w:snapToGrid w:val="0"/>
              <w:contextualSpacing/>
              <w:rPr>
                <w:rFonts w:ascii="宋体" w:hAnsi="宋体"/>
                <w:szCs w:val="21"/>
              </w:rPr>
            </w:pPr>
            <w:r>
              <w:rPr>
                <w:rFonts w:hint="eastAsia" w:ascii="宋体" w:hAnsi="宋体"/>
                <w:szCs w:val="21"/>
              </w:rPr>
              <w:t>企业是否所有测量设备都经过溯源？是否溯源到SI单位标准</w:t>
            </w:r>
          </w:p>
        </w:tc>
        <w:tc>
          <w:tcPr>
            <w:tcW w:w="1121" w:type="dxa"/>
            <w:vAlign w:val="center"/>
          </w:tcPr>
          <w:p>
            <w:pPr>
              <w:adjustRightInd w:val="0"/>
              <w:snapToGrid w:val="0"/>
              <w:contextualSpacing/>
              <w:rPr>
                <w:rFonts w:ascii="宋体" w:hAnsi="宋体"/>
                <w:szCs w:val="21"/>
              </w:rPr>
            </w:pPr>
            <w:r>
              <w:rPr>
                <w:rFonts w:hint="eastAsia" w:ascii="宋体" w:hAnsi="宋体"/>
                <w:szCs w:val="21"/>
              </w:rPr>
              <w:t>7.3.2溯源性</w:t>
            </w:r>
          </w:p>
        </w:tc>
        <w:tc>
          <w:tcPr>
            <w:tcW w:w="3750" w:type="dxa"/>
          </w:tcPr>
          <w:p>
            <w:pPr>
              <w:adjustRightInd w:val="0"/>
              <w:snapToGrid w:val="0"/>
              <w:ind w:firstLine="420" w:firstLineChars="200"/>
              <w:contextualSpacing/>
              <w:rPr>
                <w:color w:val="000000"/>
                <w:szCs w:val="21"/>
              </w:rPr>
            </w:pPr>
          </w:p>
          <w:p>
            <w:pPr>
              <w:adjustRightInd w:val="0"/>
              <w:snapToGrid w:val="0"/>
              <w:ind w:firstLine="420" w:firstLineChars="200"/>
              <w:contextualSpacing/>
              <w:rPr>
                <w:color w:val="000000"/>
                <w:szCs w:val="21"/>
              </w:rPr>
            </w:pPr>
            <w:r>
              <w:rPr>
                <w:rFonts w:hint="eastAsia"/>
                <w:color w:val="000000"/>
                <w:szCs w:val="21"/>
              </w:rPr>
              <w:t>企业建立最高计量标准6项，开展检定和校准工作。</w:t>
            </w:r>
          </w:p>
          <w:p>
            <w:pPr>
              <w:adjustRightInd w:val="0"/>
              <w:snapToGrid w:val="0"/>
              <w:ind w:firstLine="420" w:firstLineChars="200"/>
              <w:contextualSpacing/>
              <w:rPr>
                <w:rFonts w:ascii="宋体" w:hAnsi="宋体"/>
                <w:color w:val="000000"/>
                <w:szCs w:val="21"/>
              </w:rPr>
            </w:pPr>
            <w:r>
              <w:rPr>
                <w:rFonts w:hint="eastAsia"/>
                <w:color w:val="000000"/>
                <w:szCs w:val="21"/>
              </w:rPr>
              <w:t>查质检中心：</w:t>
            </w:r>
            <w:r>
              <w:rPr>
                <w:rFonts w:hint="eastAsia" w:ascii="宋体" w:hAnsi="宋体" w:cs="宋体"/>
                <w:szCs w:val="21"/>
              </w:rPr>
              <w:t>建立一项计量标准，常用玻璃量器检定装置，测量范围：0.1mg～1000g，不确定度等级：Ⅰ级Ⅱ级，有效期：2021年08月29日、证书号：【2017】市量标淮企证字第018号。</w:t>
            </w:r>
            <w:r>
              <w:rPr>
                <w:rFonts w:hint="eastAsia"/>
                <w:color w:val="000000"/>
                <w:szCs w:val="21"/>
              </w:rPr>
              <w:t>其他未建标测量设备均送至江苏省计量科学研究院和淮安计量测试中心</w:t>
            </w:r>
            <w:r>
              <w:rPr>
                <w:rFonts w:hint="eastAsia" w:ascii="宋体" w:hAnsi="宋体"/>
                <w:color w:val="000000"/>
                <w:szCs w:val="21"/>
              </w:rPr>
              <w:t>，检定校准单位资质符合要求。</w:t>
            </w:r>
          </w:p>
          <w:p>
            <w:pPr>
              <w:adjustRightInd w:val="0"/>
              <w:snapToGrid w:val="0"/>
              <w:ind w:firstLine="420" w:firstLineChars="200"/>
              <w:contextualSpacing/>
              <w:rPr>
                <w:rFonts w:ascii="宋体" w:hAnsi="宋体"/>
                <w:szCs w:val="21"/>
              </w:rPr>
            </w:pPr>
            <w:r>
              <w:rPr>
                <w:rFonts w:hint="eastAsia" w:ascii="宋体" w:hAnsi="宋体"/>
                <w:szCs w:val="21"/>
              </w:rPr>
              <w:t>企业所有测量设备都经过溯源，由有资质的单位进行检定/校准，可溯源到SI单位标准，计量标准经过考核，在有效期内，符合标准要求。</w:t>
            </w:r>
          </w:p>
          <w:p>
            <w:pPr>
              <w:adjustRightInd w:val="0"/>
              <w:snapToGrid w:val="0"/>
              <w:ind w:firstLine="420" w:firstLineChars="200"/>
              <w:contextualSpacing/>
              <w:rPr>
                <w:rFonts w:ascii="宋体" w:hAnsi="宋体"/>
                <w:kern w:val="0"/>
                <w:szCs w:val="21"/>
              </w:rPr>
            </w:pPr>
          </w:p>
        </w:tc>
        <w:tc>
          <w:tcPr>
            <w:tcW w:w="2410" w:type="dxa"/>
            <w:vAlign w:val="center"/>
          </w:tcPr>
          <w:p>
            <w:pPr>
              <w:rPr>
                <w:rFonts w:ascii="宋体" w:hAnsi="宋体"/>
                <w:bCs/>
                <w:szCs w:val="21"/>
              </w:rPr>
            </w:pPr>
            <w:r>
              <w:rPr>
                <w:rFonts w:hint="eastAsia" w:ascii="宋体" w:hAnsi="宋体" w:cs="宋体"/>
                <w:szCs w:val="21"/>
              </w:rPr>
              <w:t>质检中心、安全环保部、动力车间、</w:t>
            </w:r>
            <w:r>
              <w:rPr>
                <w:rFonts w:hint="eastAsia"/>
                <w:szCs w:val="21"/>
              </w:rPr>
              <w:t>二元酸车间、汽油加氢联合车间、特油加氢联合车间。</w:t>
            </w:r>
          </w:p>
          <w:p>
            <w:pPr>
              <w:rPr>
                <w:rFonts w:ascii="宋体" w:hAnsi="宋体" w:cs="宋体"/>
                <w:szCs w:val="21"/>
              </w:rPr>
            </w:pPr>
          </w:p>
        </w:tc>
        <w:tc>
          <w:tcPr>
            <w:tcW w:w="738" w:type="dxa"/>
            <w:vAlign w:val="center"/>
          </w:tcPr>
          <w:p>
            <w:pPr>
              <w:rPr>
                <w:rFonts w:ascii="宋体" w:hAnsi="宋体" w:cs="宋体"/>
                <w:szCs w:val="21"/>
              </w:rPr>
            </w:pPr>
            <w:r>
              <w:rPr>
                <w:rFonts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526" w:type="dxa"/>
            <w:vAlign w:val="center"/>
          </w:tcPr>
          <w:p>
            <w:pPr>
              <w:jc w:val="center"/>
              <w:rPr>
                <w:rFonts w:ascii="宋体" w:hAnsi="宋体" w:cs="宋体"/>
                <w:szCs w:val="21"/>
              </w:rPr>
            </w:pPr>
            <w:r>
              <w:rPr>
                <w:rFonts w:hint="eastAsia" w:ascii="宋体" w:hAnsi="宋体" w:cs="宋体"/>
                <w:szCs w:val="21"/>
              </w:rPr>
              <w:t>13</w:t>
            </w:r>
          </w:p>
        </w:tc>
        <w:tc>
          <w:tcPr>
            <w:tcW w:w="1769" w:type="dxa"/>
          </w:tcPr>
          <w:p>
            <w:pPr>
              <w:adjustRightInd w:val="0"/>
              <w:snapToGrid w:val="0"/>
              <w:contextualSpacing/>
              <w:rPr>
                <w:rFonts w:ascii="宋体" w:hAnsi="宋体"/>
                <w:szCs w:val="21"/>
              </w:rPr>
            </w:pPr>
          </w:p>
          <w:p>
            <w:pPr>
              <w:adjustRightInd w:val="0"/>
              <w:snapToGrid w:val="0"/>
              <w:contextualSpacing/>
              <w:rPr>
                <w:rFonts w:ascii="宋体" w:hAnsi="宋体"/>
                <w:szCs w:val="21"/>
              </w:rPr>
            </w:pPr>
          </w:p>
          <w:p>
            <w:pPr>
              <w:adjustRightInd w:val="0"/>
              <w:snapToGrid w:val="0"/>
              <w:contextualSpacing/>
              <w:rPr>
                <w:rFonts w:ascii="宋体" w:hAnsi="宋体"/>
                <w:szCs w:val="21"/>
              </w:rPr>
            </w:pPr>
            <w:r>
              <w:rPr>
                <w:rFonts w:hint="eastAsia" w:ascii="宋体" w:hAnsi="宋体"/>
                <w:szCs w:val="21"/>
              </w:rPr>
              <w:t>顾客的计量要求是否满足顾客要求？企业如何收集顾客要求？</w:t>
            </w:r>
          </w:p>
        </w:tc>
        <w:tc>
          <w:tcPr>
            <w:tcW w:w="1121" w:type="dxa"/>
            <w:vAlign w:val="center"/>
          </w:tcPr>
          <w:p>
            <w:pPr>
              <w:adjustRightInd w:val="0"/>
              <w:snapToGrid w:val="0"/>
              <w:contextualSpacing/>
              <w:rPr>
                <w:rFonts w:ascii="宋体" w:hAnsi="宋体"/>
                <w:szCs w:val="21"/>
              </w:rPr>
            </w:pPr>
            <w:r>
              <w:rPr>
                <w:rFonts w:hint="eastAsia" w:ascii="宋体" w:hAnsi="宋体"/>
                <w:szCs w:val="21"/>
              </w:rPr>
              <w:t>8.2.2顾客满意</w:t>
            </w:r>
          </w:p>
        </w:tc>
        <w:tc>
          <w:tcPr>
            <w:tcW w:w="3750" w:type="dxa"/>
          </w:tcPr>
          <w:p>
            <w:pPr>
              <w:ind w:firstLine="420" w:firstLineChars="200"/>
              <w:rPr>
                <w:color w:val="000000"/>
                <w:szCs w:val="21"/>
              </w:rPr>
            </w:pPr>
          </w:p>
          <w:p>
            <w:pPr>
              <w:ind w:firstLine="420" w:firstLineChars="200"/>
              <w:rPr>
                <w:color w:val="000000"/>
                <w:szCs w:val="21"/>
              </w:rPr>
            </w:pPr>
            <w:r>
              <w:rPr>
                <w:rFonts w:hint="eastAsia"/>
                <w:color w:val="000000"/>
                <w:szCs w:val="21"/>
              </w:rPr>
              <w:t>企业制定了《顾客满意管理程序》</w:t>
            </w:r>
            <w:bookmarkStart w:id="2" w:name="_Hlk25675645"/>
            <w:r>
              <w:rPr>
                <w:rFonts w:hint="eastAsia"/>
                <w:color w:val="000000"/>
                <w:szCs w:val="21"/>
              </w:rPr>
              <w:t>QJSH-MMSPF-01-</w:t>
            </w:r>
            <w:r>
              <w:rPr>
                <w:color w:val="000000"/>
                <w:szCs w:val="21"/>
              </w:rPr>
              <w:t>2020</w:t>
            </w:r>
            <w:bookmarkEnd w:id="2"/>
            <w:r>
              <w:rPr>
                <w:rFonts w:hint="eastAsia"/>
                <w:color w:val="000000"/>
                <w:szCs w:val="21"/>
              </w:rPr>
              <w:t>，由生产经营部负责，查生产经营部《客户满意度调查表》24份，在调查表中包括服务态度、工作作风、协调能力、服务观念、发货速度等调查内容，并进行统计分析。</w:t>
            </w:r>
          </w:p>
          <w:p>
            <w:pPr>
              <w:adjustRightInd w:val="0"/>
              <w:snapToGrid w:val="0"/>
              <w:ind w:firstLine="420" w:firstLineChars="200"/>
              <w:contextualSpacing/>
              <w:rPr>
                <w:rFonts w:hint="eastAsia" w:ascii="宋体" w:hAnsi="宋体"/>
                <w:kern w:val="0"/>
                <w:szCs w:val="21"/>
              </w:rPr>
            </w:pPr>
            <w:r>
              <w:rPr>
                <w:rFonts w:ascii="宋体" w:hAnsi="宋体"/>
                <w:kern w:val="0"/>
                <w:szCs w:val="21"/>
              </w:rPr>
              <w:t>符合标准要求</w:t>
            </w:r>
            <w:r>
              <w:rPr>
                <w:rFonts w:hint="eastAsia" w:ascii="宋体" w:hAnsi="宋体"/>
                <w:kern w:val="0"/>
                <w:szCs w:val="21"/>
              </w:rPr>
              <w:t>。</w:t>
            </w:r>
          </w:p>
          <w:p>
            <w:pPr>
              <w:adjustRightInd w:val="0"/>
              <w:snapToGrid w:val="0"/>
              <w:ind w:firstLine="420" w:firstLineChars="200"/>
              <w:contextualSpacing/>
              <w:rPr>
                <w:rFonts w:ascii="宋体" w:hAnsi="宋体"/>
                <w:kern w:val="0"/>
                <w:szCs w:val="21"/>
              </w:rPr>
            </w:pPr>
          </w:p>
        </w:tc>
        <w:tc>
          <w:tcPr>
            <w:tcW w:w="2410" w:type="dxa"/>
            <w:vAlign w:val="center"/>
          </w:tcPr>
          <w:p>
            <w:pPr>
              <w:ind w:firstLine="210" w:firstLineChars="100"/>
              <w:rPr>
                <w:rFonts w:ascii="宋体" w:hAnsi="宋体" w:cs="宋体"/>
                <w:szCs w:val="21"/>
              </w:rPr>
            </w:pPr>
            <w:r>
              <w:rPr>
                <w:rFonts w:hint="eastAsia" w:ascii="宋体" w:hAnsi="宋体" w:cs="宋体"/>
                <w:szCs w:val="21"/>
              </w:rPr>
              <w:t>生产经营部</w:t>
            </w:r>
          </w:p>
        </w:tc>
        <w:tc>
          <w:tcPr>
            <w:tcW w:w="738" w:type="dxa"/>
            <w:vAlign w:val="center"/>
          </w:tcPr>
          <w:p>
            <w:pPr>
              <w:rPr>
                <w:rFonts w:ascii="宋体" w:hAnsi="宋体" w:cs="宋体"/>
                <w:szCs w:val="21"/>
              </w:rPr>
            </w:pPr>
            <w:r>
              <w:rPr>
                <w:rFonts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trPr>
        <w:tc>
          <w:tcPr>
            <w:tcW w:w="526" w:type="dxa"/>
            <w:vAlign w:val="center"/>
          </w:tcPr>
          <w:p>
            <w:pPr>
              <w:jc w:val="center"/>
              <w:rPr>
                <w:rFonts w:ascii="宋体" w:hAnsi="宋体" w:cs="宋体"/>
                <w:szCs w:val="21"/>
              </w:rPr>
            </w:pPr>
            <w:r>
              <w:rPr>
                <w:rFonts w:hint="eastAsia" w:ascii="宋体" w:hAnsi="宋体" w:cs="宋体"/>
                <w:szCs w:val="21"/>
              </w:rPr>
              <w:t>14</w:t>
            </w:r>
          </w:p>
        </w:tc>
        <w:tc>
          <w:tcPr>
            <w:tcW w:w="1769" w:type="dxa"/>
          </w:tcPr>
          <w:p>
            <w:pPr>
              <w:adjustRightInd w:val="0"/>
              <w:snapToGrid w:val="0"/>
              <w:contextualSpacing/>
              <w:rPr>
                <w:rFonts w:ascii="宋体" w:hAnsi="宋体"/>
                <w:szCs w:val="21"/>
              </w:rPr>
            </w:pPr>
          </w:p>
          <w:p>
            <w:pPr>
              <w:adjustRightInd w:val="0"/>
              <w:snapToGrid w:val="0"/>
              <w:contextualSpacing/>
              <w:rPr>
                <w:rFonts w:ascii="宋体" w:hAnsi="宋体"/>
                <w:szCs w:val="21"/>
              </w:rPr>
            </w:pPr>
          </w:p>
          <w:p>
            <w:pPr>
              <w:adjustRightInd w:val="0"/>
              <w:snapToGrid w:val="0"/>
              <w:contextualSpacing/>
              <w:rPr>
                <w:rFonts w:ascii="宋体" w:hAnsi="宋体"/>
                <w:szCs w:val="21"/>
              </w:rPr>
            </w:pPr>
            <w:r>
              <w:rPr>
                <w:rFonts w:hint="eastAsia" w:ascii="宋体" w:hAnsi="宋体"/>
                <w:szCs w:val="21"/>
              </w:rPr>
              <w:t>企业是否对测量体系监视形成文件？企业是否对计量确认过程和测量过程按照计划频次进行监视？</w:t>
            </w:r>
          </w:p>
        </w:tc>
        <w:tc>
          <w:tcPr>
            <w:tcW w:w="1121" w:type="dxa"/>
            <w:vAlign w:val="center"/>
          </w:tcPr>
          <w:p>
            <w:pPr>
              <w:adjustRightInd w:val="0"/>
              <w:snapToGrid w:val="0"/>
              <w:contextualSpacing/>
              <w:rPr>
                <w:rFonts w:ascii="宋体" w:hAnsi="宋体"/>
                <w:szCs w:val="21"/>
              </w:rPr>
            </w:pPr>
            <w:r>
              <w:rPr>
                <w:rFonts w:hint="eastAsia" w:ascii="宋体" w:hAnsi="宋体"/>
                <w:szCs w:val="21"/>
              </w:rPr>
              <w:t>8.2.4测量管理体系的监视</w:t>
            </w:r>
          </w:p>
        </w:tc>
        <w:tc>
          <w:tcPr>
            <w:tcW w:w="3750" w:type="dxa"/>
          </w:tcPr>
          <w:p>
            <w:pPr>
              <w:adjustRightInd w:val="0"/>
              <w:snapToGrid w:val="0"/>
              <w:ind w:firstLine="420" w:firstLineChars="200"/>
              <w:contextualSpacing/>
              <w:rPr>
                <w:rFonts w:ascii="宋体" w:hAnsi="宋体"/>
                <w:szCs w:val="21"/>
              </w:rPr>
            </w:pPr>
          </w:p>
          <w:p>
            <w:pPr>
              <w:adjustRightInd w:val="0"/>
              <w:snapToGrid w:val="0"/>
              <w:ind w:firstLine="420" w:firstLineChars="200"/>
              <w:contextualSpacing/>
              <w:rPr>
                <w:rFonts w:ascii="宋体" w:hAnsi="宋体"/>
                <w:szCs w:val="21"/>
              </w:rPr>
            </w:pPr>
            <w:r>
              <w:rPr>
                <w:rFonts w:hint="eastAsia" w:ascii="宋体" w:hAnsi="宋体"/>
                <w:szCs w:val="21"/>
              </w:rPr>
              <w:t>企业编制了《</w:t>
            </w:r>
            <w:r>
              <w:rPr>
                <w:rFonts w:ascii="宋体" w:hAnsi="宋体"/>
                <w:szCs w:val="21"/>
              </w:rPr>
              <w:t>测量管理体系审核和监视管理程序</w:t>
            </w:r>
            <w:r>
              <w:rPr>
                <w:rFonts w:hint="eastAsia" w:ascii="宋体" w:hAnsi="宋体"/>
                <w:szCs w:val="21"/>
              </w:rPr>
              <w:t>》</w:t>
            </w:r>
            <w:bookmarkStart w:id="3" w:name="_Hlk25676147"/>
            <w:r>
              <w:rPr>
                <w:rFonts w:hint="eastAsia" w:ascii="宋体" w:hAnsi="宋体"/>
                <w:szCs w:val="21"/>
              </w:rPr>
              <w:t>，QJSH-MMSPF-09-</w:t>
            </w:r>
            <w:r>
              <w:rPr>
                <w:rFonts w:ascii="宋体" w:hAnsi="宋体"/>
                <w:szCs w:val="21"/>
              </w:rPr>
              <w:t>2020</w:t>
            </w:r>
            <w:bookmarkEnd w:id="3"/>
            <w:r>
              <w:rPr>
                <w:rFonts w:hint="eastAsia" w:ascii="宋体" w:hAnsi="宋体"/>
                <w:szCs w:val="21"/>
              </w:rPr>
              <w:t>，对列入体系管理的测量过程，测量设备计量确认过程</w:t>
            </w:r>
            <w:bookmarkStart w:id="7" w:name="_GoBack"/>
            <w:r>
              <w:rPr>
                <w:rFonts w:hint="eastAsia" w:ascii="宋体" w:hAnsi="宋体"/>
                <w:szCs w:val="21"/>
              </w:rPr>
              <w:t>按照《</w:t>
            </w:r>
            <w:r>
              <w:rPr>
                <w:rFonts w:ascii="宋体" w:hAnsi="宋体"/>
                <w:szCs w:val="21"/>
              </w:rPr>
              <w:t>测量过程设计和实现管理程序</w:t>
            </w:r>
            <w:r>
              <w:rPr>
                <w:rFonts w:hint="eastAsia" w:ascii="宋体" w:hAnsi="宋体"/>
                <w:szCs w:val="21"/>
              </w:rPr>
              <w:t>》规定的频次进行</w:t>
            </w:r>
            <w:bookmarkEnd w:id="7"/>
            <w:r>
              <w:rPr>
                <w:rFonts w:hint="eastAsia" w:ascii="宋体" w:hAnsi="宋体"/>
                <w:szCs w:val="21"/>
              </w:rPr>
              <w:t>持续监视统计记录。</w:t>
            </w:r>
          </w:p>
          <w:p>
            <w:pPr>
              <w:adjustRightInd w:val="0"/>
              <w:snapToGrid w:val="0"/>
              <w:ind w:firstLine="420" w:firstLineChars="200"/>
              <w:contextualSpacing/>
              <w:rPr>
                <w:rFonts w:ascii="宋体" w:hAnsi="宋体"/>
                <w:szCs w:val="21"/>
              </w:rPr>
            </w:pPr>
            <w:r>
              <w:rPr>
                <w:rFonts w:ascii="宋体" w:hAnsi="宋体"/>
                <w:szCs w:val="21"/>
              </w:rPr>
              <w:t>见</w:t>
            </w:r>
            <w:r>
              <w:rPr>
                <w:rFonts w:hint="eastAsia" w:ascii="宋体" w:hAnsi="宋体"/>
                <w:szCs w:val="21"/>
              </w:rPr>
              <w:t>：《柴油凝点测量过程》和《总排口废水PH测量过程》，监视统计记录和检测过程质控图。</w:t>
            </w:r>
          </w:p>
          <w:p>
            <w:pPr>
              <w:adjustRightInd w:val="0"/>
              <w:snapToGrid w:val="0"/>
              <w:ind w:firstLine="420" w:firstLineChars="200"/>
              <w:contextualSpacing/>
              <w:rPr>
                <w:rFonts w:hint="eastAsia" w:ascii="宋体" w:hAnsi="宋体"/>
                <w:szCs w:val="21"/>
              </w:rPr>
            </w:pPr>
            <w:r>
              <w:rPr>
                <w:rFonts w:hint="eastAsia" w:ascii="宋体" w:hAnsi="宋体"/>
                <w:szCs w:val="21"/>
              </w:rPr>
              <w:t>符合标准要求。</w:t>
            </w:r>
          </w:p>
          <w:p>
            <w:pPr>
              <w:adjustRightInd w:val="0"/>
              <w:snapToGrid w:val="0"/>
              <w:ind w:firstLine="420" w:firstLineChars="200"/>
              <w:contextualSpacing/>
              <w:rPr>
                <w:rFonts w:ascii="宋体" w:hAnsi="宋体"/>
                <w:kern w:val="0"/>
                <w:szCs w:val="21"/>
              </w:rPr>
            </w:pPr>
          </w:p>
        </w:tc>
        <w:tc>
          <w:tcPr>
            <w:tcW w:w="2410" w:type="dxa"/>
            <w:vAlign w:val="center"/>
          </w:tcPr>
          <w:p>
            <w:pPr>
              <w:rPr>
                <w:rFonts w:ascii="宋体" w:hAnsi="宋体" w:cs="宋体"/>
                <w:szCs w:val="21"/>
              </w:rPr>
            </w:pPr>
            <w:r>
              <w:rPr>
                <w:rFonts w:hint="eastAsia" w:ascii="宋体" w:hAnsi="宋体" w:cs="宋体"/>
                <w:szCs w:val="21"/>
              </w:rPr>
              <w:t>质检中心、安全环保部、动力车间、</w:t>
            </w:r>
            <w:r>
              <w:rPr>
                <w:rFonts w:hint="eastAsia"/>
                <w:szCs w:val="21"/>
              </w:rPr>
              <w:t>二元酸车间、汽油加氢联合车间、特油加氢联合车间。</w:t>
            </w:r>
          </w:p>
        </w:tc>
        <w:tc>
          <w:tcPr>
            <w:tcW w:w="738" w:type="dxa"/>
            <w:vAlign w:val="center"/>
          </w:tcPr>
          <w:p>
            <w:pPr>
              <w:rPr>
                <w:rFonts w:ascii="宋体" w:hAnsi="宋体" w:cs="宋体"/>
                <w:szCs w:val="21"/>
              </w:rPr>
            </w:pPr>
            <w:r>
              <w:rPr>
                <w:rFonts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trPr>
        <w:tc>
          <w:tcPr>
            <w:tcW w:w="526" w:type="dxa"/>
            <w:vAlign w:val="center"/>
          </w:tcPr>
          <w:p>
            <w:pPr>
              <w:jc w:val="center"/>
              <w:rPr>
                <w:rFonts w:ascii="宋体" w:hAnsi="宋体" w:cs="宋体"/>
                <w:szCs w:val="21"/>
              </w:rPr>
            </w:pPr>
            <w:r>
              <w:rPr>
                <w:rFonts w:hint="eastAsia" w:ascii="宋体" w:hAnsi="宋体" w:cs="宋体"/>
                <w:szCs w:val="21"/>
              </w:rPr>
              <w:t>15</w:t>
            </w:r>
          </w:p>
        </w:tc>
        <w:tc>
          <w:tcPr>
            <w:tcW w:w="1769" w:type="dxa"/>
          </w:tcPr>
          <w:p>
            <w:pPr>
              <w:adjustRightInd w:val="0"/>
              <w:snapToGrid w:val="0"/>
              <w:contextualSpacing/>
              <w:rPr>
                <w:rFonts w:ascii="宋体" w:hAnsi="宋体"/>
                <w:szCs w:val="21"/>
              </w:rPr>
            </w:pPr>
          </w:p>
          <w:p>
            <w:pPr>
              <w:adjustRightInd w:val="0"/>
              <w:snapToGrid w:val="0"/>
              <w:contextualSpacing/>
              <w:rPr>
                <w:rFonts w:ascii="宋体" w:hAnsi="宋体"/>
                <w:szCs w:val="21"/>
              </w:rPr>
            </w:pPr>
          </w:p>
          <w:p>
            <w:pPr>
              <w:adjustRightInd w:val="0"/>
              <w:snapToGrid w:val="0"/>
              <w:contextualSpacing/>
              <w:rPr>
                <w:rFonts w:ascii="宋体" w:hAnsi="宋体"/>
                <w:szCs w:val="21"/>
              </w:rPr>
            </w:pPr>
          </w:p>
          <w:p>
            <w:pPr>
              <w:adjustRightInd w:val="0"/>
              <w:snapToGrid w:val="0"/>
              <w:contextualSpacing/>
              <w:rPr>
                <w:rFonts w:ascii="宋体" w:hAnsi="宋体"/>
                <w:szCs w:val="21"/>
              </w:rPr>
            </w:pPr>
          </w:p>
          <w:p>
            <w:pPr>
              <w:adjustRightInd w:val="0"/>
              <w:snapToGrid w:val="0"/>
              <w:contextualSpacing/>
              <w:rPr>
                <w:rFonts w:ascii="宋体" w:hAnsi="宋体"/>
                <w:szCs w:val="21"/>
              </w:rPr>
            </w:pPr>
            <w:r>
              <w:rPr>
                <w:rFonts w:hint="eastAsia" w:ascii="宋体" w:hAnsi="宋体"/>
                <w:szCs w:val="21"/>
              </w:rPr>
              <w:t>审核部门是否出现不合格测量过程和不合格测量设备？发现不合格如何处置？</w:t>
            </w:r>
          </w:p>
          <w:p>
            <w:pPr>
              <w:adjustRightInd w:val="0"/>
              <w:snapToGrid w:val="0"/>
              <w:contextualSpacing/>
              <w:rPr>
                <w:rFonts w:ascii="宋体" w:hAnsi="宋体"/>
                <w:szCs w:val="21"/>
              </w:rPr>
            </w:pPr>
          </w:p>
        </w:tc>
        <w:tc>
          <w:tcPr>
            <w:tcW w:w="1121" w:type="dxa"/>
            <w:vAlign w:val="center"/>
          </w:tcPr>
          <w:p>
            <w:pPr>
              <w:jc w:val="center"/>
              <w:rPr>
                <w:rFonts w:ascii="宋体" w:hAnsi="宋体"/>
                <w:szCs w:val="21"/>
              </w:rPr>
            </w:pPr>
            <w:r>
              <w:rPr>
                <w:rFonts w:hint="eastAsia" w:ascii="宋体" w:hAnsi="宋体"/>
                <w:szCs w:val="21"/>
              </w:rPr>
              <w:t>8</w:t>
            </w:r>
            <w:r>
              <w:rPr>
                <w:rFonts w:ascii="宋体" w:hAnsi="宋体"/>
                <w:szCs w:val="21"/>
              </w:rPr>
              <w:t>.3.2</w:t>
            </w:r>
            <w:r>
              <w:rPr>
                <w:rFonts w:hint="eastAsia" w:ascii="宋体" w:hAnsi="宋体"/>
                <w:szCs w:val="21"/>
              </w:rPr>
              <w:t>不合格测量过程</w:t>
            </w:r>
          </w:p>
          <w:p>
            <w:pPr>
              <w:adjustRightInd w:val="0"/>
              <w:snapToGrid w:val="0"/>
              <w:contextualSpacing/>
              <w:rPr>
                <w:rFonts w:ascii="宋体" w:hAnsi="宋体"/>
                <w:szCs w:val="21"/>
              </w:rPr>
            </w:pPr>
            <w:r>
              <w:rPr>
                <w:rFonts w:hint="eastAsia" w:ascii="宋体" w:hAnsi="宋体"/>
                <w:szCs w:val="21"/>
              </w:rPr>
              <w:t>8</w:t>
            </w:r>
            <w:r>
              <w:rPr>
                <w:rFonts w:ascii="宋体" w:hAnsi="宋体"/>
                <w:szCs w:val="21"/>
              </w:rPr>
              <w:t>.3.3</w:t>
            </w:r>
            <w:r>
              <w:rPr>
                <w:rFonts w:hint="eastAsia" w:ascii="宋体" w:hAnsi="宋体"/>
                <w:szCs w:val="21"/>
              </w:rPr>
              <w:t>不合格测量设备</w:t>
            </w:r>
          </w:p>
        </w:tc>
        <w:tc>
          <w:tcPr>
            <w:tcW w:w="3750" w:type="dxa"/>
          </w:tcPr>
          <w:p>
            <w:pPr>
              <w:adjustRightInd w:val="0"/>
              <w:snapToGrid w:val="0"/>
              <w:ind w:firstLine="420" w:firstLineChars="200"/>
              <w:contextualSpacing/>
              <w:rPr>
                <w:rFonts w:hint="eastAsia" w:ascii="宋体" w:hAnsi="宋体"/>
                <w:szCs w:val="21"/>
              </w:rPr>
            </w:pPr>
          </w:p>
          <w:p>
            <w:pPr>
              <w:adjustRightInd w:val="0"/>
              <w:snapToGrid w:val="0"/>
              <w:ind w:firstLine="420" w:firstLineChars="200"/>
              <w:contextualSpacing/>
              <w:rPr>
                <w:rFonts w:ascii="宋体" w:hAnsi="宋体"/>
                <w:szCs w:val="21"/>
              </w:rPr>
            </w:pPr>
            <w:r>
              <w:rPr>
                <w:rFonts w:hint="eastAsia" w:ascii="宋体" w:hAnsi="宋体"/>
                <w:szCs w:val="21"/>
              </w:rPr>
              <w:t>企业编制了</w:t>
            </w:r>
            <w:bookmarkStart w:id="4" w:name="_Hlk25676689"/>
            <w:r>
              <w:rPr>
                <w:rFonts w:hint="eastAsia" w:ascii="宋体" w:hAnsi="宋体"/>
                <w:szCs w:val="21"/>
              </w:rPr>
              <w:t>《</w:t>
            </w:r>
            <w:r>
              <w:rPr>
                <w:rFonts w:ascii="宋体" w:hAnsi="宋体"/>
                <w:szCs w:val="21"/>
              </w:rPr>
              <w:t>不合格</w:t>
            </w:r>
            <w:r>
              <w:rPr>
                <w:rFonts w:hint="eastAsia" w:ascii="宋体" w:hAnsi="宋体"/>
                <w:szCs w:val="21"/>
              </w:rPr>
              <w:t>管理</w:t>
            </w:r>
            <w:r>
              <w:rPr>
                <w:rFonts w:ascii="宋体" w:hAnsi="宋体"/>
                <w:szCs w:val="21"/>
              </w:rPr>
              <w:t>控制程序</w:t>
            </w:r>
            <w:r>
              <w:rPr>
                <w:rFonts w:hint="eastAsia" w:ascii="宋体" w:hAnsi="宋体"/>
                <w:szCs w:val="21"/>
              </w:rPr>
              <w:t>》</w:t>
            </w:r>
            <w:bookmarkStart w:id="5" w:name="_Hlk25677423"/>
            <w:r>
              <w:rPr>
                <w:rFonts w:hint="eastAsia" w:ascii="宋体" w:hAnsi="宋体"/>
                <w:szCs w:val="21"/>
              </w:rPr>
              <w:t>QJSH-MMSPF-18-</w:t>
            </w:r>
            <w:r>
              <w:rPr>
                <w:rFonts w:ascii="宋体" w:hAnsi="宋体"/>
                <w:szCs w:val="21"/>
              </w:rPr>
              <w:t>2020</w:t>
            </w:r>
            <w:bookmarkEnd w:id="4"/>
            <w:bookmarkEnd w:id="5"/>
            <w:r>
              <w:rPr>
                <w:rFonts w:hint="eastAsia" w:ascii="宋体" w:hAnsi="宋体"/>
                <w:szCs w:val="21"/>
              </w:rPr>
              <w:t>。</w:t>
            </w:r>
          </w:p>
          <w:p>
            <w:pPr>
              <w:adjustRightInd w:val="0"/>
              <w:snapToGrid w:val="0"/>
              <w:ind w:firstLine="420" w:firstLineChars="200"/>
              <w:contextualSpacing/>
              <w:rPr>
                <w:rFonts w:ascii="宋体" w:hAnsi="宋体"/>
                <w:szCs w:val="21"/>
              </w:rPr>
            </w:pPr>
            <w:r>
              <w:rPr>
                <w:rFonts w:hint="eastAsia"/>
              </w:rPr>
              <w:t>对体系的不符合项，</w:t>
            </w:r>
            <w:r>
              <w:rPr>
                <w:rFonts w:hint="eastAsia" w:ascii="宋体" w:hAnsi="宋体"/>
                <w:szCs w:val="21"/>
              </w:rPr>
              <w:t>不合格测量过程和不合格测量设备、</w:t>
            </w:r>
            <w:r>
              <w:rPr>
                <w:rFonts w:hint="eastAsia" w:ascii="宋体" w:hAnsi="宋体" w:cs="宋体"/>
                <w:szCs w:val="21"/>
              </w:rPr>
              <w:t>不合格的分类、确认、标识、记录、隔离、评审、处置及改进做出规定</w:t>
            </w:r>
            <w:r>
              <w:rPr>
                <w:rFonts w:hint="eastAsia" w:ascii="宋体" w:hAnsi="宋体"/>
                <w:szCs w:val="21"/>
              </w:rPr>
              <w:t>。</w:t>
            </w:r>
          </w:p>
          <w:p>
            <w:pPr>
              <w:adjustRightInd w:val="0"/>
              <w:snapToGrid w:val="0"/>
              <w:ind w:firstLine="420" w:firstLineChars="200"/>
              <w:contextualSpacing/>
              <w:rPr>
                <w:rFonts w:ascii="宋体" w:hAnsi="宋体"/>
                <w:szCs w:val="21"/>
              </w:rPr>
            </w:pPr>
            <w:r>
              <w:rPr>
                <w:rFonts w:hint="eastAsia" w:ascii="宋体" w:hAnsi="宋体" w:cs="宋体"/>
                <w:szCs w:val="21"/>
              </w:rPr>
              <w:t>技术运行部为测量体系不合格、测量过程不合格、测量设备不合格控制的归口管理，并组织重大不合格的评审，报管代批准后实施，并负责对不合格做出处置决定</w:t>
            </w:r>
          </w:p>
          <w:p>
            <w:pPr>
              <w:adjustRightInd w:val="0"/>
              <w:snapToGrid w:val="0"/>
              <w:ind w:firstLine="420" w:firstLineChars="200"/>
              <w:contextualSpacing/>
              <w:rPr>
                <w:rFonts w:ascii="宋体" w:hAnsi="宋体"/>
                <w:szCs w:val="21"/>
              </w:rPr>
            </w:pPr>
            <w:r>
              <w:rPr>
                <w:rFonts w:hint="eastAsia" w:ascii="宋体" w:hAnsi="宋体" w:cs="宋体"/>
                <w:szCs w:val="21"/>
              </w:rPr>
              <w:t>现场查看质检中心、安全环保部、动力车间、</w:t>
            </w:r>
            <w:r>
              <w:rPr>
                <w:rFonts w:hint="eastAsia"/>
                <w:szCs w:val="21"/>
              </w:rPr>
              <w:t>二元酸车间、汽油加氢联合车间、特油加氢联合车间，没有发现</w:t>
            </w:r>
            <w:r>
              <w:rPr>
                <w:rFonts w:hint="eastAsia" w:ascii="宋体" w:hAnsi="宋体"/>
                <w:szCs w:val="21"/>
              </w:rPr>
              <w:t>不合格测量过程和不合格测量设备。</w:t>
            </w:r>
          </w:p>
          <w:p>
            <w:pPr>
              <w:adjustRightInd w:val="0"/>
              <w:snapToGrid w:val="0"/>
              <w:ind w:firstLine="420" w:firstLineChars="200"/>
              <w:contextualSpacing/>
              <w:rPr>
                <w:rFonts w:hint="eastAsia" w:ascii="宋体" w:hAnsi="宋体"/>
                <w:szCs w:val="21"/>
              </w:rPr>
            </w:pPr>
            <w:r>
              <w:rPr>
                <w:rFonts w:hint="eastAsia" w:ascii="宋体" w:hAnsi="宋体"/>
                <w:szCs w:val="21"/>
              </w:rPr>
              <w:t>符合标准要求。</w:t>
            </w:r>
          </w:p>
          <w:p>
            <w:pPr>
              <w:adjustRightInd w:val="0"/>
              <w:snapToGrid w:val="0"/>
              <w:ind w:firstLine="420" w:firstLineChars="200"/>
              <w:contextualSpacing/>
              <w:rPr>
                <w:rFonts w:ascii="宋体" w:hAnsi="宋体"/>
                <w:szCs w:val="21"/>
                <w:highlight w:val="yellow"/>
              </w:rPr>
            </w:pPr>
          </w:p>
        </w:tc>
        <w:tc>
          <w:tcPr>
            <w:tcW w:w="2410" w:type="dxa"/>
            <w:vAlign w:val="center"/>
          </w:tcPr>
          <w:p>
            <w:pPr>
              <w:rPr>
                <w:rFonts w:ascii="宋体" w:hAnsi="宋体" w:cs="宋体"/>
                <w:szCs w:val="21"/>
              </w:rPr>
            </w:pPr>
            <w:r>
              <w:rPr>
                <w:rFonts w:hint="eastAsia" w:ascii="宋体" w:hAnsi="宋体" w:cs="宋体"/>
                <w:szCs w:val="21"/>
              </w:rPr>
              <w:t>质检中心、安全环保部、动力车间、</w:t>
            </w:r>
            <w:r>
              <w:rPr>
                <w:rFonts w:hint="eastAsia"/>
                <w:szCs w:val="21"/>
              </w:rPr>
              <w:t>二元酸车间、汽油加氢联合车间、特油加氢联合车间。</w:t>
            </w:r>
          </w:p>
        </w:tc>
        <w:tc>
          <w:tcPr>
            <w:tcW w:w="738" w:type="dxa"/>
            <w:vAlign w:val="center"/>
          </w:tcPr>
          <w:p>
            <w:pPr>
              <w:rPr>
                <w:rFonts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26" w:type="dxa"/>
            <w:vAlign w:val="center"/>
          </w:tcPr>
          <w:p>
            <w:pPr>
              <w:jc w:val="center"/>
              <w:rPr>
                <w:rFonts w:ascii="宋体" w:hAnsi="宋体" w:cs="宋体"/>
                <w:szCs w:val="21"/>
              </w:rPr>
            </w:pPr>
            <w:r>
              <w:rPr>
                <w:rFonts w:hint="eastAsia" w:ascii="宋体" w:hAnsi="宋体" w:cs="宋体"/>
                <w:szCs w:val="21"/>
              </w:rPr>
              <w:t>16</w:t>
            </w:r>
          </w:p>
        </w:tc>
        <w:tc>
          <w:tcPr>
            <w:tcW w:w="1769" w:type="dxa"/>
          </w:tcPr>
          <w:p>
            <w:pPr>
              <w:adjustRightInd w:val="0"/>
              <w:snapToGrid w:val="0"/>
              <w:contextualSpacing/>
              <w:rPr>
                <w:rFonts w:ascii="宋体" w:hAnsi="宋体"/>
                <w:szCs w:val="21"/>
              </w:rPr>
            </w:pPr>
          </w:p>
          <w:p>
            <w:pPr>
              <w:adjustRightInd w:val="0"/>
              <w:snapToGrid w:val="0"/>
              <w:contextualSpacing/>
              <w:rPr>
                <w:rFonts w:ascii="宋体" w:hAnsi="宋体"/>
                <w:szCs w:val="21"/>
              </w:rPr>
            </w:pPr>
          </w:p>
          <w:p>
            <w:pPr>
              <w:adjustRightInd w:val="0"/>
              <w:snapToGrid w:val="0"/>
              <w:contextualSpacing/>
              <w:rPr>
                <w:rFonts w:ascii="宋体" w:hAnsi="宋体"/>
                <w:szCs w:val="21"/>
              </w:rPr>
            </w:pPr>
            <w:r>
              <w:rPr>
                <w:rFonts w:hint="eastAsia" w:ascii="宋体" w:hAnsi="宋体"/>
                <w:szCs w:val="21"/>
              </w:rPr>
              <w:t>部门发现不合格如何采取纠正和纠正措施？</w:t>
            </w:r>
          </w:p>
        </w:tc>
        <w:tc>
          <w:tcPr>
            <w:tcW w:w="1121" w:type="dxa"/>
            <w:vAlign w:val="center"/>
          </w:tcPr>
          <w:p>
            <w:pPr>
              <w:adjustRightInd w:val="0"/>
              <w:snapToGrid w:val="0"/>
              <w:contextualSpacing/>
              <w:rPr>
                <w:rFonts w:ascii="宋体" w:hAnsi="宋体"/>
                <w:szCs w:val="21"/>
              </w:rPr>
            </w:pPr>
            <w:r>
              <w:rPr>
                <w:rFonts w:hint="eastAsia" w:ascii="宋体" w:hAnsi="宋体"/>
                <w:szCs w:val="21"/>
              </w:rPr>
              <w:t>8.4改进</w:t>
            </w:r>
          </w:p>
        </w:tc>
        <w:tc>
          <w:tcPr>
            <w:tcW w:w="3750" w:type="dxa"/>
          </w:tcPr>
          <w:p>
            <w:pPr>
              <w:adjustRightInd w:val="0"/>
              <w:snapToGrid w:val="0"/>
              <w:ind w:firstLine="210" w:firstLineChars="100"/>
              <w:contextualSpacing/>
              <w:rPr>
                <w:rFonts w:hint="eastAsia" w:ascii="宋体" w:hAnsi="宋体"/>
                <w:szCs w:val="21"/>
              </w:rPr>
            </w:pPr>
          </w:p>
          <w:p>
            <w:pPr>
              <w:adjustRightInd w:val="0"/>
              <w:snapToGrid w:val="0"/>
              <w:ind w:firstLine="210" w:firstLineChars="100"/>
              <w:contextualSpacing/>
              <w:rPr>
                <w:szCs w:val="21"/>
              </w:rPr>
            </w:pPr>
            <w:r>
              <w:rPr>
                <w:rFonts w:hint="eastAsia" w:ascii="宋体" w:hAnsi="宋体"/>
                <w:szCs w:val="21"/>
              </w:rPr>
              <w:t>企业编制了</w:t>
            </w:r>
            <w:bookmarkStart w:id="6" w:name="_Hlk25676430"/>
            <w:r>
              <w:rPr>
                <w:rFonts w:hint="eastAsia"/>
                <w:szCs w:val="21"/>
              </w:rPr>
              <w:t>QJSH-MMSPF-19-</w:t>
            </w:r>
            <w:r>
              <w:rPr>
                <w:szCs w:val="21"/>
              </w:rPr>
              <w:t>2020</w:t>
            </w:r>
            <w:bookmarkEnd w:id="6"/>
            <w:r>
              <w:rPr>
                <w:rFonts w:hint="eastAsia"/>
                <w:szCs w:val="21"/>
              </w:rPr>
              <w:t>《</w:t>
            </w:r>
            <w:r>
              <w:rPr>
                <w:szCs w:val="21"/>
              </w:rPr>
              <w:t>纠正和预防措施管理程序</w:t>
            </w:r>
            <w:r>
              <w:rPr>
                <w:rFonts w:hint="eastAsia"/>
                <w:szCs w:val="21"/>
              </w:rPr>
              <w:t>》，</w:t>
            </w:r>
            <w:r>
              <w:rPr>
                <w:szCs w:val="21"/>
              </w:rPr>
              <w:t>预防不合格再次发生，以完善测量管理体系，实施持续改进，提高测量质量</w:t>
            </w:r>
            <w:r>
              <w:rPr>
                <w:rFonts w:hint="eastAsia"/>
                <w:szCs w:val="21"/>
              </w:rPr>
              <w:t>。</w:t>
            </w:r>
          </w:p>
          <w:p>
            <w:pPr>
              <w:adjustRightInd w:val="0"/>
              <w:snapToGrid w:val="0"/>
              <w:ind w:firstLine="210" w:firstLineChars="100"/>
              <w:contextualSpacing/>
              <w:rPr>
                <w:rFonts w:ascii="宋体" w:hAnsi="宋体" w:cs="宋体"/>
                <w:szCs w:val="21"/>
              </w:rPr>
            </w:pPr>
            <w:r>
              <w:rPr>
                <w:rFonts w:hint="eastAsia" w:ascii="宋体" w:hAnsi="宋体"/>
                <w:bCs/>
                <w:szCs w:val="21"/>
              </w:rPr>
              <w:t>查</w:t>
            </w:r>
            <w:r>
              <w:rPr>
                <w:rFonts w:hint="eastAsia" w:ascii="宋体" w:hAnsi="宋体" w:cs="宋体"/>
                <w:szCs w:val="21"/>
              </w:rPr>
              <w:t>质检中心：发现问题：建立小容量最高标准，人员资质不够，项目未开展，纠正措施：人员已参加计量协会检定员培训；</w:t>
            </w:r>
          </w:p>
          <w:p>
            <w:pPr>
              <w:adjustRightInd w:val="0"/>
              <w:snapToGrid w:val="0"/>
              <w:ind w:firstLine="210" w:firstLineChars="100"/>
              <w:contextualSpacing/>
              <w:rPr>
                <w:rFonts w:ascii="宋体" w:hAnsi="宋体" w:cs="宋体"/>
                <w:szCs w:val="21"/>
              </w:rPr>
            </w:pPr>
            <w:r>
              <w:rPr>
                <w:rFonts w:hint="eastAsia" w:ascii="宋体" w:hAnsi="宋体" w:cs="宋体"/>
                <w:szCs w:val="21"/>
              </w:rPr>
              <w:t>发现问题：分析项目（商品丙丁烷混合物液化石油气）记录不规范，纠正：查看2021年4月21日商品丙丁烷混合物液化石油气记录，记录规范。</w:t>
            </w:r>
          </w:p>
          <w:p>
            <w:pPr>
              <w:adjustRightInd w:val="0"/>
              <w:snapToGrid w:val="0"/>
              <w:ind w:firstLine="210" w:firstLineChars="100"/>
              <w:contextualSpacing/>
              <w:rPr>
                <w:szCs w:val="21"/>
              </w:rPr>
            </w:pPr>
            <w:r>
              <w:rPr>
                <w:rFonts w:hint="eastAsia"/>
                <w:szCs w:val="21"/>
              </w:rPr>
              <w:t>特油加氢联合车间燃料气测量设备识别不充分，没有验证记录，纠正：已补充验证记录。</w:t>
            </w:r>
          </w:p>
          <w:p>
            <w:pPr>
              <w:adjustRightInd w:val="0"/>
              <w:snapToGrid w:val="0"/>
              <w:ind w:firstLine="210" w:firstLineChars="100"/>
              <w:contextualSpacing/>
              <w:rPr>
                <w:rFonts w:hint="eastAsia" w:ascii="宋体" w:hAnsi="宋体"/>
                <w:bCs/>
                <w:szCs w:val="21"/>
              </w:rPr>
            </w:pPr>
            <w:r>
              <w:rPr>
                <w:rFonts w:hint="eastAsia" w:ascii="宋体" w:hAnsi="宋体"/>
                <w:bCs/>
                <w:szCs w:val="21"/>
              </w:rPr>
              <w:t>符合标准要求。</w:t>
            </w:r>
          </w:p>
          <w:p>
            <w:pPr>
              <w:adjustRightInd w:val="0"/>
              <w:snapToGrid w:val="0"/>
              <w:ind w:firstLine="210" w:firstLineChars="100"/>
              <w:contextualSpacing/>
              <w:rPr>
                <w:szCs w:val="21"/>
              </w:rPr>
            </w:pPr>
          </w:p>
        </w:tc>
        <w:tc>
          <w:tcPr>
            <w:tcW w:w="2410" w:type="dxa"/>
            <w:vAlign w:val="center"/>
          </w:tcPr>
          <w:p>
            <w:pPr>
              <w:rPr>
                <w:rFonts w:ascii="宋体" w:hAnsi="宋体" w:cs="宋体"/>
                <w:szCs w:val="21"/>
              </w:rPr>
            </w:pPr>
            <w:r>
              <w:rPr>
                <w:rFonts w:hint="eastAsia" w:ascii="宋体" w:hAnsi="宋体" w:cs="宋体"/>
                <w:szCs w:val="21"/>
              </w:rPr>
              <w:t>质检中心、安全环保部、动力车间、</w:t>
            </w:r>
            <w:r>
              <w:rPr>
                <w:rFonts w:hint="eastAsia"/>
                <w:szCs w:val="21"/>
              </w:rPr>
              <w:t>二元酸车间、汽油加氢联合车间、特油加氢联合车间。</w:t>
            </w:r>
          </w:p>
        </w:tc>
        <w:tc>
          <w:tcPr>
            <w:tcW w:w="738" w:type="dxa"/>
            <w:vAlign w:val="center"/>
          </w:tcPr>
          <w:p>
            <w:pPr>
              <w:rPr>
                <w:rFonts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526" w:type="dxa"/>
            <w:vAlign w:val="center"/>
          </w:tcPr>
          <w:p>
            <w:pPr>
              <w:jc w:val="center"/>
              <w:rPr>
                <w:rFonts w:ascii="宋体" w:hAnsi="宋体" w:cs="宋体"/>
                <w:szCs w:val="21"/>
              </w:rPr>
            </w:pPr>
            <w:r>
              <w:rPr>
                <w:rFonts w:hint="eastAsia" w:ascii="宋体" w:hAnsi="宋体" w:cs="宋体"/>
                <w:szCs w:val="21"/>
              </w:rPr>
              <w:t>17</w:t>
            </w:r>
          </w:p>
        </w:tc>
        <w:tc>
          <w:tcPr>
            <w:tcW w:w="1769" w:type="dxa"/>
          </w:tcPr>
          <w:p>
            <w:pPr>
              <w:adjustRightInd w:val="0"/>
              <w:snapToGrid w:val="0"/>
              <w:contextualSpacing/>
              <w:rPr>
                <w:rFonts w:ascii="宋体" w:hAnsi="宋体"/>
                <w:szCs w:val="21"/>
              </w:rPr>
            </w:pPr>
          </w:p>
          <w:p>
            <w:pPr>
              <w:adjustRightInd w:val="0"/>
              <w:snapToGrid w:val="0"/>
              <w:contextualSpacing/>
              <w:rPr>
                <w:rFonts w:ascii="宋体" w:hAnsi="宋体"/>
                <w:szCs w:val="21"/>
              </w:rPr>
            </w:pPr>
          </w:p>
          <w:p>
            <w:pPr>
              <w:adjustRightInd w:val="0"/>
              <w:snapToGrid w:val="0"/>
              <w:contextualSpacing/>
              <w:rPr>
                <w:rFonts w:ascii="宋体" w:hAnsi="宋体"/>
                <w:szCs w:val="21"/>
              </w:rPr>
            </w:pPr>
          </w:p>
          <w:p>
            <w:pPr>
              <w:adjustRightInd w:val="0"/>
              <w:snapToGrid w:val="0"/>
              <w:contextualSpacing/>
              <w:rPr>
                <w:rFonts w:ascii="宋体" w:hAnsi="宋体"/>
                <w:szCs w:val="21"/>
              </w:rPr>
            </w:pPr>
            <w:r>
              <w:rPr>
                <w:rFonts w:hint="eastAsia" w:ascii="宋体" w:hAnsi="宋体"/>
                <w:szCs w:val="21"/>
              </w:rPr>
              <w:t>计量单位使用情况？强制检定？定量包装？计量器具生产许可等</w:t>
            </w:r>
          </w:p>
        </w:tc>
        <w:tc>
          <w:tcPr>
            <w:tcW w:w="1121" w:type="dxa"/>
            <w:vAlign w:val="center"/>
          </w:tcPr>
          <w:p>
            <w:pPr>
              <w:adjustRightInd w:val="0"/>
              <w:snapToGrid w:val="0"/>
              <w:contextualSpacing/>
              <w:rPr>
                <w:rFonts w:ascii="宋体" w:hAnsi="宋体"/>
                <w:szCs w:val="21"/>
              </w:rPr>
            </w:pPr>
            <w:r>
              <w:rPr>
                <w:rFonts w:hint="eastAsia" w:ascii="宋体" w:hAnsi="宋体"/>
                <w:szCs w:val="21"/>
              </w:rPr>
              <w:t>计量法制要求</w:t>
            </w:r>
          </w:p>
          <w:p>
            <w:pPr>
              <w:adjustRightInd w:val="0"/>
              <w:snapToGrid w:val="0"/>
              <w:contextualSpacing/>
              <w:rPr>
                <w:rFonts w:ascii="宋体" w:hAnsi="宋体"/>
                <w:szCs w:val="21"/>
              </w:rPr>
            </w:pPr>
          </w:p>
          <w:p>
            <w:pPr>
              <w:adjustRightInd w:val="0"/>
              <w:snapToGrid w:val="0"/>
              <w:contextualSpacing/>
              <w:rPr>
                <w:rFonts w:ascii="宋体" w:hAnsi="宋体"/>
                <w:szCs w:val="21"/>
              </w:rPr>
            </w:pPr>
          </w:p>
        </w:tc>
        <w:tc>
          <w:tcPr>
            <w:tcW w:w="3750" w:type="dxa"/>
          </w:tcPr>
          <w:p>
            <w:pPr>
              <w:adjustRightInd w:val="0"/>
              <w:snapToGrid w:val="0"/>
              <w:ind w:firstLine="420" w:firstLineChars="200"/>
              <w:contextualSpacing/>
              <w:rPr>
                <w:rFonts w:hint="eastAsia"/>
                <w:bCs/>
                <w:szCs w:val="21"/>
              </w:rPr>
            </w:pPr>
          </w:p>
          <w:p>
            <w:pPr>
              <w:adjustRightInd w:val="0"/>
              <w:snapToGrid w:val="0"/>
              <w:ind w:firstLine="420" w:firstLineChars="200"/>
              <w:contextualSpacing/>
              <w:rPr>
                <w:bCs/>
                <w:szCs w:val="21"/>
              </w:rPr>
            </w:pPr>
            <w:r>
              <w:rPr>
                <w:rFonts w:hint="eastAsia"/>
                <w:bCs/>
                <w:szCs w:val="21"/>
              </w:rPr>
              <w:t>查</w:t>
            </w:r>
            <w:r>
              <w:rPr>
                <w:rFonts w:hint="eastAsia" w:ascii="宋体" w:hAnsi="宋体" w:cs="宋体"/>
                <w:szCs w:val="21"/>
              </w:rPr>
              <w:t>质检中心、安全环保部、动力车间、</w:t>
            </w:r>
            <w:r>
              <w:rPr>
                <w:rFonts w:hint="eastAsia"/>
                <w:szCs w:val="21"/>
              </w:rPr>
              <w:t>二元酸车间、汽油加氢联合车间、特油加氢联合车间</w:t>
            </w:r>
            <w:r>
              <w:rPr>
                <w:rFonts w:hint="eastAsia"/>
                <w:bCs/>
                <w:szCs w:val="21"/>
              </w:rPr>
              <w:t>《</w:t>
            </w:r>
            <w:r>
              <w:rPr>
                <w:rFonts w:hint="eastAsia" w:ascii="宋体" w:hAnsi="宋体"/>
                <w:szCs w:val="21"/>
              </w:rPr>
              <w:t>计量确认和测量过程汇总一览表</w:t>
            </w:r>
            <w:r>
              <w:rPr>
                <w:rFonts w:hint="eastAsia"/>
                <w:bCs/>
                <w:szCs w:val="21"/>
              </w:rPr>
              <w:t>》、《测量设备台账》、《能源计量器具台账》</w:t>
            </w:r>
            <w:r>
              <w:rPr>
                <w:rFonts w:hint="eastAsia" w:ascii="宋体" w:hAnsi="宋体"/>
                <w:szCs w:val="21"/>
              </w:rPr>
              <w:t>等文件、报表中计量单位的使用，符合法定计量要求。</w:t>
            </w:r>
            <w:r>
              <w:rPr>
                <w:rFonts w:hint="eastAsia"/>
                <w:bCs/>
                <w:szCs w:val="21"/>
              </w:rPr>
              <w:t>测量设备溯源合理。</w:t>
            </w:r>
          </w:p>
          <w:p>
            <w:pPr>
              <w:adjustRightInd w:val="0"/>
              <w:snapToGrid w:val="0"/>
              <w:ind w:firstLine="420" w:firstLineChars="200"/>
              <w:contextualSpacing/>
              <w:rPr>
                <w:bCs/>
                <w:szCs w:val="21"/>
              </w:rPr>
            </w:pPr>
            <w:r>
              <w:rPr>
                <w:rFonts w:hint="eastAsia"/>
                <w:bCs/>
                <w:szCs w:val="21"/>
              </w:rPr>
              <w:t>可燃气体报警器等用于安全监测的测量设备列入强制检定计量器具管理，</w:t>
            </w:r>
            <w:r>
              <w:rPr>
                <w:rFonts w:hint="eastAsia" w:ascii="宋体" w:hAnsi="宋体" w:cs="宋体"/>
                <w:szCs w:val="21"/>
              </w:rPr>
              <w:t>现场抽查编号QJ-TYJQ-AT1001可燃气体报警器，有效期：</w:t>
            </w:r>
            <w:r>
              <w:rPr>
                <w:rFonts w:ascii="宋体" w:hAnsi="宋体" w:cs="宋体"/>
                <w:szCs w:val="21"/>
              </w:rPr>
              <w:t>202</w:t>
            </w:r>
            <w:r>
              <w:rPr>
                <w:rFonts w:hint="eastAsia" w:ascii="宋体" w:hAnsi="宋体" w:cs="宋体"/>
                <w:szCs w:val="21"/>
              </w:rPr>
              <w:t>1年</w:t>
            </w:r>
            <w:r>
              <w:rPr>
                <w:rFonts w:ascii="宋体" w:hAnsi="宋体" w:cs="宋体"/>
                <w:szCs w:val="21"/>
              </w:rPr>
              <w:t>5</w:t>
            </w:r>
            <w:r>
              <w:rPr>
                <w:rFonts w:hint="eastAsia" w:ascii="宋体" w:hAnsi="宋体" w:cs="宋体"/>
                <w:szCs w:val="21"/>
              </w:rPr>
              <w:t>月19</w:t>
            </w:r>
            <w:r>
              <w:rPr>
                <w:rFonts w:ascii="宋体" w:hAnsi="宋体" w:cs="宋体"/>
                <w:szCs w:val="21"/>
              </w:rPr>
              <w:t>日</w:t>
            </w:r>
            <w:r>
              <w:rPr>
                <w:rFonts w:hint="eastAsia" w:ascii="宋体" w:hAnsi="宋体" w:cs="宋体"/>
                <w:szCs w:val="21"/>
              </w:rPr>
              <w:t>；编号QJ-QYJQ-AT29207，可燃气体报警器，有效期：</w:t>
            </w:r>
            <w:r>
              <w:rPr>
                <w:rFonts w:ascii="宋体" w:hAnsi="宋体" w:cs="宋体"/>
                <w:szCs w:val="21"/>
              </w:rPr>
              <w:t>202</w:t>
            </w:r>
            <w:r>
              <w:rPr>
                <w:rFonts w:hint="eastAsia" w:ascii="宋体" w:hAnsi="宋体" w:cs="宋体"/>
                <w:szCs w:val="21"/>
              </w:rPr>
              <w:t>1年</w:t>
            </w:r>
            <w:r>
              <w:rPr>
                <w:rFonts w:ascii="宋体" w:hAnsi="宋体" w:cs="宋体"/>
                <w:szCs w:val="21"/>
              </w:rPr>
              <w:t>5</w:t>
            </w:r>
            <w:r>
              <w:rPr>
                <w:rFonts w:hint="eastAsia" w:ascii="宋体" w:hAnsi="宋体" w:cs="宋体"/>
                <w:szCs w:val="21"/>
              </w:rPr>
              <w:t>月</w:t>
            </w:r>
            <w:r>
              <w:rPr>
                <w:rFonts w:ascii="宋体" w:hAnsi="宋体" w:cs="宋体"/>
                <w:szCs w:val="21"/>
              </w:rPr>
              <w:t>27日</w:t>
            </w:r>
            <w:r>
              <w:rPr>
                <w:rFonts w:hint="eastAsia" w:ascii="宋体" w:hAnsi="宋体" w:cs="宋体"/>
                <w:szCs w:val="21"/>
              </w:rPr>
              <w:t>。</w:t>
            </w:r>
          </w:p>
          <w:p>
            <w:pPr>
              <w:adjustRightInd w:val="0"/>
              <w:snapToGrid w:val="0"/>
              <w:ind w:firstLine="210" w:firstLineChars="100"/>
              <w:contextualSpacing/>
              <w:rPr>
                <w:rFonts w:hint="eastAsia"/>
                <w:szCs w:val="21"/>
              </w:rPr>
            </w:pPr>
            <w:r>
              <w:rPr>
                <w:rFonts w:hint="eastAsia"/>
                <w:szCs w:val="21"/>
              </w:rPr>
              <w:t>二元酸车间产品采用定量包装，配备了符合要求的LCS-25定量包装秤，准确度等级0.5级，且检定合格在有效期内。</w:t>
            </w:r>
          </w:p>
          <w:p>
            <w:pPr>
              <w:adjustRightInd w:val="0"/>
              <w:snapToGrid w:val="0"/>
              <w:ind w:firstLine="210" w:firstLineChars="100"/>
              <w:contextualSpacing/>
              <w:rPr>
                <w:rFonts w:ascii="宋体" w:hAnsi="宋体"/>
                <w:szCs w:val="21"/>
              </w:rPr>
            </w:pPr>
          </w:p>
        </w:tc>
        <w:tc>
          <w:tcPr>
            <w:tcW w:w="2410" w:type="dxa"/>
            <w:vAlign w:val="center"/>
          </w:tcPr>
          <w:p>
            <w:pPr>
              <w:rPr>
                <w:rFonts w:ascii="宋体" w:hAnsi="宋体" w:cs="宋体"/>
                <w:szCs w:val="21"/>
              </w:rPr>
            </w:pPr>
            <w:r>
              <w:rPr>
                <w:rFonts w:hint="eastAsia" w:ascii="宋体" w:hAnsi="宋体" w:cs="宋体"/>
                <w:szCs w:val="21"/>
              </w:rPr>
              <w:t>质检中心、安全环保部、动力车间、</w:t>
            </w:r>
            <w:r>
              <w:rPr>
                <w:rFonts w:hint="eastAsia"/>
                <w:szCs w:val="21"/>
              </w:rPr>
              <w:t>二元酸车间、汽油加氢联合车间、特油加氢联合车间。</w:t>
            </w:r>
          </w:p>
        </w:tc>
        <w:tc>
          <w:tcPr>
            <w:tcW w:w="738" w:type="dxa"/>
            <w:vAlign w:val="center"/>
          </w:tcPr>
          <w:p>
            <w:pPr>
              <w:rPr>
                <w:rFonts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526" w:type="dxa"/>
            <w:vAlign w:val="center"/>
          </w:tcPr>
          <w:p>
            <w:pPr>
              <w:jc w:val="center"/>
              <w:rPr>
                <w:rFonts w:ascii="宋体" w:hAnsi="宋体" w:cs="宋体"/>
                <w:szCs w:val="21"/>
              </w:rPr>
            </w:pPr>
            <w:r>
              <w:rPr>
                <w:rFonts w:hint="eastAsia" w:ascii="宋体" w:hAnsi="宋体" w:cs="宋体"/>
                <w:szCs w:val="21"/>
              </w:rPr>
              <w:t>18</w:t>
            </w:r>
          </w:p>
        </w:tc>
        <w:tc>
          <w:tcPr>
            <w:tcW w:w="1769" w:type="dxa"/>
          </w:tcPr>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企业能源主要品种？年消耗标煤？是否是重点用能单位？</w:t>
            </w:r>
          </w:p>
        </w:tc>
        <w:tc>
          <w:tcPr>
            <w:tcW w:w="1121" w:type="dxa"/>
            <w:vAlign w:val="center"/>
          </w:tcPr>
          <w:p>
            <w:pPr>
              <w:spacing w:line="360" w:lineRule="exact"/>
              <w:jc w:val="center"/>
              <w:rPr>
                <w:rFonts w:ascii="宋体" w:hAnsi="宋体"/>
                <w:szCs w:val="21"/>
              </w:rPr>
            </w:pPr>
            <w:r>
              <w:rPr>
                <w:rFonts w:hint="eastAsia" w:ascii="宋体" w:hAnsi="宋体"/>
                <w:szCs w:val="21"/>
              </w:rPr>
              <w:t>GB17167-2006</w:t>
            </w:r>
          </w:p>
        </w:tc>
        <w:tc>
          <w:tcPr>
            <w:tcW w:w="3750" w:type="dxa"/>
            <w:vAlign w:val="center"/>
          </w:tcPr>
          <w:p>
            <w:pPr>
              <w:adjustRightInd w:val="0"/>
              <w:snapToGrid w:val="0"/>
              <w:ind w:firstLine="420" w:firstLineChars="200"/>
              <w:contextualSpacing/>
              <w:rPr>
                <w:rFonts w:hint="eastAsia"/>
                <w:bCs/>
                <w:szCs w:val="21"/>
              </w:rPr>
            </w:pPr>
          </w:p>
          <w:p>
            <w:pPr>
              <w:adjustRightInd w:val="0"/>
              <w:snapToGrid w:val="0"/>
              <w:ind w:firstLine="420" w:firstLineChars="200"/>
              <w:contextualSpacing/>
              <w:rPr>
                <w:bCs/>
                <w:szCs w:val="21"/>
              </w:rPr>
            </w:pPr>
            <w:r>
              <w:rPr>
                <w:rFonts w:hint="eastAsia"/>
                <w:bCs/>
                <w:szCs w:val="21"/>
              </w:rPr>
              <w:t>企业为重点耗能单位，能源管理工作由技术运行部负责，企业通过了能源管理体系认证，在2021年3月由方中国船级社质量认证公司，进行了认证（证书号：00521En1096R2M），目前体系运行受控。</w:t>
            </w:r>
          </w:p>
          <w:p>
            <w:pPr>
              <w:adjustRightInd w:val="0"/>
              <w:snapToGrid w:val="0"/>
              <w:ind w:firstLine="420" w:firstLineChars="200"/>
              <w:contextualSpacing/>
              <w:rPr>
                <w:rFonts w:hint="eastAsia"/>
                <w:bCs/>
                <w:szCs w:val="21"/>
              </w:rPr>
            </w:pPr>
            <w:r>
              <w:rPr>
                <w:rFonts w:hint="eastAsia"/>
                <w:bCs/>
                <w:szCs w:val="21"/>
              </w:rPr>
              <w:t>查看淮安清江石油化工有限责任公司《能源评审报告》（2021年1月），2020年耗能为</w:t>
            </w:r>
            <w:r>
              <w:rPr>
                <w:bCs/>
                <w:szCs w:val="21"/>
              </w:rPr>
              <w:t>8</w:t>
            </w:r>
            <w:r>
              <w:rPr>
                <w:rFonts w:hint="eastAsia"/>
                <w:bCs/>
                <w:szCs w:val="21"/>
              </w:rPr>
              <w:t>.</w:t>
            </w:r>
            <w:r>
              <w:rPr>
                <w:bCs/>
                <w:szCs w:val="21"/>
              </w:rPr>
              <w:t>4</w:t>
            </w:r>
            <w:r>
              <w:rPr>
                <w:rFonts w:hint="eastAsia"/>
                <w:bCs/>
                <w:szCs w:val="21"/>
              </w:rPr>
              <w:t>1万吨标准煤。企业配备进出用能单位测量设备为18台件，次级用能单位测量设备13台件，主要用能测量设备为66台件，配备率均满足要求。企业主要耗能为原油、石油制品和电力，查看企业《能源计量器具台账》配备0.2级质量流量计、0.2级多功能电能表和Ⅲ级电子汽车衡等能源测量设备。能源测量设备配备和准确度等级满足要求。</w:t>
            </w:r>
          </w:p>
          <w:p>
            <w:pPr>
              <w:adjustRightInd w:val="0"/>
              <w:snapToGrid w:val="0"/>
              <w:ind w:firstLine="420" w:firstLineChars="200"/>
              <w:contextualSpacing/>
              <w:rPr>
                <w:bCs/>
                <w:szCs w:val="21"/>
              </w:rPr>
            </w:pPr>
          </w:p>
        </w:tc>
        <w:tc>
          <w:tcPr>
            <w:tcW w:w="2410" w:type="dxa"/>
            <w:vAlign w:val="center"/>
          </w:tcPr>
          <w:p>
            <w:pPr>
              <w:spacing w:line="360" w:lineRule="exact"/>
              <w:jc w:val="center"/>
              <w:rPr>
                <w:rFonts w:ascii="宋体" w:hAnsi="宋体"/>
                <w:szCs w:val="21"/>
              </w:rPr>
            </w:pPr>
            <w:r>
              <w:rPr>
                <w:rFonts w:hint="eastAsia"/>
                <w:szCs w:val="21"/>
              </w:rPr>
              <w:t>技术运行部</w:t>
            </w:r>
          </w:p>
        </w:tc>
        <w:tc>
          <w:tcPr>
            <w:tcW w:w="738" w:type="dxa"/>
            <w:vAlign w:val="center"/>
          </w:tcPr>
          <w:p>
            <w:pPr>
              <w:spacing w:line="360" w:lineRule="exact"/>
              <w:jc w:val="center"/>
              <w:rPr>
                <w:rFonts w:ascii="宋体" w:hAnsi="宋体"/>
                <w:szCs w:val="21"/>
              </w:rPr>
            </w:pPr>
            <w:r>
              <w:rPr>
                <w:rFonts w:ascii="宋体" w:hAnsi="宋体"/>
                <w:szCs w:val="21"/>
              </w:rPr>
              <w:t>符合</w:t>
            </w:r>
          </w:p>
        </w:tc>
      </w:tr>
    </w:tbl>
    <w:p>
      <w:pPr>
        <w:rPr>
          <w:rFonts w:ascii="宋体" w:hAnsi="宋体" w:cs="宋体"/>
          <w:szCs w:val="21"/>
        </w:rPr>
      </w:pPr>
    </w:p>
    <w:sectPr>
      <w:headerReference r:id="rId3" w:type="default"/>
      <w:footerReference r:id="rId4" w:type="default"/>
      <w:pgSz w:w="11906" w:h="16838"/>
      <w:pgMar w:top="1276" w:right="926" w:bottom="779" w:left="1080" w:header="397" w:footer="57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46990</wp:posOffset>
          </wp:positionH>
          <wp:positionV relativeFrom="paragraph">
            <wp:posOffset>188595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cmpd="sng">
                    <a:noFill/>
                    <a:miter lim="800000"/>
                    <a:headEnd/>
                    <a:tailEnd/>
                  </a:ln>
                </pic:spPr>
              </pic:pic>
            </a:graphicData>
          </a:graphic>
        </wp:anchor>
      </w:drawing>
    </w:r>
    <w:r>
      <w:tab/>
    </w:r>
    <w:r>
      <w:rPr>
        <w:rFonts w:hint="eastAsia"/>
      </w:rPr>
      <w:t xml:space="preserve">   </w:t>
    </w:r>
  </w:p>
  <w:p>
    <w:pPr>
      <w:pStyle w:val="5"/>
      <w:pBdr>
        <w:bottom w:val="none" w:color="auto" w:sz="0" w:space="0"/>
      </w:pBdr>
      <w:spacing w:line="320" w:lineRule="exact"/>
      <w:ind w:left="-1023" w:leftChars="-487" w:firstLine="1793" w:firstLineChars="854"/>
      <w:jc w:val="left"/>
      <w:rPr>
        <w:rStyle w:val="11"/>
        <w:rFonts w:hint="default" w:ascii="Times New Roman" w:hAnsi="Times New Roman"/>
        <w:szCs w:val="21"/>
      </w:rPr>
    </w:pPr>
    <w:r>
      <w:rPr>
        <w:rStyle w:val="11"/>
        <w:rFonts w:hint="default" w:ascii="Times New Roman" w:hAnsi="Times New Roman"/>
        <w:szCs w:val="21"/>
      </w:rPr>
      <w:t>北京国标联合认证有限公司</w:t>
    </w:r>
  </w:p>
  <w:p>
    <w:pPr>
      <w:pStyle w:val="5"/>
      <w:pBdr>
        <w:bottom w:val="none" w:color="auto" w:sz="0" w:space="1"/>
      </w:pBdr>
      <w:spacing w:line="320" w:lineRule="exact"/>
      <w:jc w:val="left"/>
      <w:rPr>
        <w:sz w:val="21"/>
        <w:szCs w:val="21"/>
      </w:rPr>
    </w:pPr>
    <w:r>
      <w:rPr>
        <w:sz w:val="21"/>
        <w:szCs w:val="21"/>
      </w:rPr>
      <w:pict>
        <v:shape id="文本框 1" o:spid="_x0000_s2059" o:spt="202" type="#_x0000_t202" style="position:absolute;left:0pt;margin-left:300pt;margin-top:-0.4pt;height:20.6pt;width:204.1pt;z-index:251658240;mso-width-relative:page;mso-height-relative:page;" stroked="f" coordsize="21600,21600" o:gfxdata="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dpPBbWAAAACQEAAA8AAAAAAAAAAQAgAAAAIgAAAGRycy9k&#10;b3ducmV2LnhtbFBLAQIUABQAAAAIAIdO4kCZLMBrywEAAGUDAAAOAAAAAAAAAAEAIAAAACUBAABk&#10;cnMvZTJvRG9jLnhtbFBLBQYAAAAABgAGAFkBAABiBQAAAAA=&#10;">
          <v:path/>
          <v:fill focussize="0,0"/>
          <v:stroke on="f" joinstyle="miter"/>
          <v:imagedata o:title=""/>
          <o:lock v:ext="edit"/>
          <v:textbox>
            <w:txbxContent>
              <w:p>
                <w:pPr>
                  <w:rPr>
                    <w:sz w:val="18"/>
                    <w:szCs w:val="18"/>
                  </w:rPr>
                </w:pPr>
                <w:r>
                  <w:rPr>
                    <w:szCs w:val="21"/>
                  </w:rPr>
                  <w:t>ISC-A-I-</w:t>
                </w:r>
                <w:r>
                  <w:rPr>
                    <w:rFonts w:hint="eastAsia"/>
                    <w:szCs w:val="21"/>
                  </w:rPr>
                  <w:t>13审核员现场审核记录（06版）</w:t>
                </w:r>
              </w:p>
            </w:txbxContent>
          </v:textbox>
        </v:shape>
      </w:pict>
    </w:r>
    <w:r>
      <w:rPr>
        <w:rStyle w:val="11"/>
        <w:rFonts w:hint="default" w:ascii="Times New Roman" w:hAnsi="Times New Roman"/>
        <w:szCs w:val="21"/>
      </w:rPr>
      <w:t xml:space="preserve">       </w:t>
    </w:r>
    <w:r>
      <w:rPr>
        <w:rStyle w:val="11"/>
        <w:rFonts w:hint="default" w:ascii="Times New Roman" w:hAnsi="Times New Roman"/>
        <w:w w:val="80"/>
        <w:szCs w:val="21"/>
      </w:rPr>
      <w:t xml:space="preserve">Beijing International Standard united Certification Co.,Ltd. </w:t>
    </w:r>
    <w:r>
      <w:rPr>
        <w:rStyle w:val="11"/>
        <w:rFonts w:hint="default" w:ascii="Times New Roman" w:hAnsi="Times New Roman"/>
        <w:w w:val="90"/>
        <w:szCs w:val="21"/>
      </w:rPr>
      <w:t xml:space="preserve">                     </w:t>
    </w:r>
  </w:p>
  <w:p>
    <w:pPr>
      <w:rPr>
        <w:szCs w:val="21"/>
      </w:rPr>
    </w:pPr>
    <w:r>
      <w:rPr>
        <w:szCs w:val="21"/>
      </w:rPr>
      <w:pict>
        <v:line id="直线 5" o:spid="_x0000_s2060" o:spt="20" style="position:absolute;left:0pt;flip:y;margin-left:-0.45pt;margin-top:2.3pt;height:0.7pt;width:497.2pt;z-index:251658240;mso-width-relative:page;mso-height-relative:page;" coordsize="21600,21600" o:gfxdata="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MavPNQAAAAFAQAADwAAAAAA&#10;AAABACAAAAAiAAAAZHJzL2Rvd25yZXYueG1sUEsBAhQAFAAAAAgAh07iQA7AjBPeAQAAqAMAAA4A&#10;AAAAAAAAAQAgAAAAIwEAAGRycy9lMm9Eb2MueG1sUEsFBgAAAAAGAAYAWQEAAHMFAAAAAA==&#10;">
          <v:path arrowok="t"/>
          <v:fill focussize="0,0"/>
          <v:stroke/>
          <v:imagedata o:title=""/>
          <o:lock v:ext="edit"/>
        </v:line>
      </w:pic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669BF"/>
    <w:rsid w:val="00014CD4"/>
    <w:rsid w:val="00021238"/>
    <w:rsid w:val="00032BB0"/>
    <w:rsid w:val="00033197"/>
    <w:rsid w:val="00033A86"/>
    <w:rsid w:val="00037044"/>
    <w:rsid w:val="00044D3B"/>
    <w:rsid w:val="00046AD7"/>
    <w:rsid w:val="00075655"/>
    <w:rsid w:val="000801A0"/>
    <w:rsid w:val="00087526"/>
    <w:rsid w:val="00092564"/>
    <w:rsid w:val="000A03EA"/>
    <w:rsid w:val="000B7637"/>
    <w:rsid w:val="000E03B7"/>
    <w:rsid w:val="000F0ADF"/>
    <w:rsid w:val="000F27F0"/>
    <w:rsid w:val="000F5482"/>
    <w:rsid w:val="000F7969"/>
    <w:rsid w:val="00100BF2"/>
    <w:rsid w:val="0010471E"/>
    <w:rsid w:val="00126ECA"/>
    <w:rsid w:val="00140FD5"/>
    <w:rsid w:val="00141863"/>
    <w:rsid w:val="00145985"/>
    <w:rsid w:val="0015603B"/>
    <w:rsid w:val="00162DE8"/>
    <w:rsid w:val="00164944"/>
    <w:rsid w:val="00174F8D"/>
    <w:rsid w:val="00180F87"/>
    <w:rsid w:val="001869DD"/>
    <w:rsid w:val="0019627D"/>
    <w:rsid w:val="001B3FA7"/>
    <w:rsid w:val="001C3BE0"/>
    <w:rsid w:val="001C617D"/>
    <w:rsid w:val="001D36CD"/>
    <w:rsid w:val="001F0142"/>
    <w:rsid w:val="001F72A5"/>
    <w:rsid w:val="00223355"/>
    <w:rsid w:val="00223CB8"/>
    <w:rsid w:val="00223EC1"/>
    <w:rsid w:val="00237AD3"/>
    <w:rsid w:val="00242043"/>
    <w:rsid w:val="002474F2"/>
    <w:rsid w:val="00250639"/>
    <w:rsid w:val="002509CB"/>
    <w:rsid w:val="002560D4"/>
    <w:rsid w:val="00261EA3"/>
    <w:rsid w:val="002620E2"/>
    <w:rsid w:val="002631B3"/>
    <w:rsid w:val="00273D8D"/>
    <w:rsid w:val="00297EC3"/>
    <w:rsid w:val="002B3A5C"/>
    <w:rsid w:val="002C0FFD"/>
    <w:rsid w:val="002D0310"/>
    <w:rsid w:val="002D2240"/>
    <w:rsid w:val="003050AA"/>
    <w:rsid w:val="00321C96"/>
    <w:rsid w:val="00324B0D"/>
    <w:rsid w:val="00332DFC"/>
    <w:rsid w:val="00344CFB"/>
    <w:rsid w:val="00360AA6"/>
    <w:rsid w:val="00366642"/>
    <w:rsid w:val="00393FA1"/>
    <w:rsid w:val="0039603A"/>
    <w:rsid w:val="003D24BD"/>
    <w:rsid w:val="003E22D3"/>
    <w:rsid w:val="003E5D0C"/>
    <w:rsid w:val="0040564D"/>
    <w:rsid w:val="004060CD"/>
    <w:rsid w:val="00433B54"/>
    <w:rsid w:val="00446803"/>
    <w:rsid w:val="00450DE8"/>
    <w:rsid w:val="004511E6"/>
    <w:rsid w:val="00451D6E"/>
    <w:rsid w:val="00451F5C"/>
    <w:rsid w:val="004607BA"/>
    <w:rsid w:val="00461A80"/>
    <w:rsid w:val="00471D3E"/>
    <w:rsid w:val="00473370"/>
    <w:rsid w:val="00476DFF"/>
    <w:rsid w:val="0048445F"/>
    <w:rsid w:val="00495DA0"/>
    <w:rsid w:val="00495FF4"/>
    <w:rsid w:val="004A0F8B"/>
    <w:rsid w:val="004A5A03"/>
    <w:rsid w:val="004A7BD3"/>
    <w:rsid w:val="004B5907"/>
    <w:rsid w:val="004F154B"/>
    <w:rsid w:val="00506704"/>
    <w:rsid w:val="005249F6"/>
    <w:rsid w:val="00545A1F"/>
    <w:rsid w:val="005609C1"/>
    <w:rsid w:val="00571669"/>
    <w:rsid w:val="005B5975"/>
    <w:rsid w:val="005B6FEA"/>
    <w:rsid w:val="005D2B49"/>
    <w:rsid w:val="005D2D77"/>
    <w:rsid w:val="005D77B5"/>
    <w:rsid w:val="00606D7B"/>
    <w:rsid w:val="00622175"/>
    <w:rsid w:val="0062226C"/>
    <w:rsid w:val="00622E44"/>
    <w:rsid w:val="0066044D"/>
    <w:rsid w:val="006669BF"/>
    <w:rsid w:val="006746BC"/>
    <w:rsid w:val="0067610E"/>
    <w:rsid w:val="0068022D"/>
    <w:rsid w:val="006877D6"/>
    <w:rsid w:val="006915EE"/>
    <w:rsid w:val="00696899"/>
    <w:rsid w:val="00696B46"/>
    <w:rsid w:val="00696FA3"/>
    <w:rsid w:val="006C1163"/>
    <w:rsid w:val="006C3658"/>
    <w:rsid w:val="006C4794"/>
    <w:rsid w:val="006D0AF5"/>
    <w:rsid w:val="006E4BDD"/>
    <w:rsid w:val="006E597D"/>
    <w:rsid w:val="006E68F3"/>
    <w:rsid w:val="006F2BAC"/>
    <w:rsid w:val="006F6599"/>
    <w:rsid w:val="0070231D"/>
    <w:rsid w:val="0070328E"/>
    <w:rsid w:val="00714672"/>
    <w:rsid w:val="00723997"/>
    <w:rsid w:val="00724362"/>
    <w:rsid w:val="00740128"/>
    <w:rsid w:val="00742EEF"/>
    <w:rsid w:val="0074399E"/>
    <w:rsid w:val="00754CDC"/>
    <w:rsid w:val="007660A3"/>
    <w:rsid w:val="007907E9"/>
    <w:rsid w:val="00794C85"/>
    <w:rsid w:val="00795A4D"/>
    <w:rsid w:val="007A40B0"/>
    <w:rsid w:val="007B4A72"/>
    <w:rsid w:val="007B4D3F"/>
    <w:rsid w:val="007C1EDC"/>
    <w:rsid w:val="007C4CA2"/>
    <w:rsid w:val="007D1653"/>
    <w:rsid w:val="007D3C00"/>
    <w:rsid w:val="007E2866"/>
    <w:rsid w:val="007E4A11"/>
    <w:rsid w:val="007E6786"/>
    <w:rsid w:val="007F5CF8"/>
    <w:rsid w:val="00800160"/>
    <w:rsid w:val="00811FDF"/>
    <w:rsid w:val="00822E33"/>
    <w:rsid w:val="008252FD"/>
    <w:rsid w:val="0083722C"/>
    <w:rsid w:val="0084794F"/>
    <w:rsid w:val="008916F1"/>
    <w:rsid w:val="008A2E9B"/>
    <w:rsid w:val="008B664F"/>
    <w:rsid w:val="008B6D8D"/>
    <w:rsid w:val="008B7618"/>
    <w:rsid w:val="008C46B6"/>
    <w:rsid w:val="008D3FBC"/>
    <w:rsid w:val="008D73FF"/>
    <w:rsid w:val="008E1FE2"/>
    <w:rsid w:val="008E3137"/>
    <w:rsid w:val="008F091B"/>
    <w:rsid w:val="008F7B8C"/>
    <w:rsid w:val="00900FF7"/>
    <w:rsid w:val="0090374A"/>
    <w:rsid w:val="00906765"/>
    <w:rsid w:val="00906B4B"/>
    <w:rsid w:val="00913A3F"/>
    <w:rsid w:val="00920766"/>
    <w:rsid w:val="00925B52"/>
    <w:rsid w:val="00931367"/>
    <w:rsid w:val="0093633B"/>
    <w:rsid w:val="00942B06"/>
    <w:rsid w:val="00944483"/>
    <w:rsid w:val="0096062A"/>
    <w:rsid w:val="00960978"/>
    <w:rsid w:val="00980228"/>
    <w:rsid w:val="00983481"/>
    <w:rsid w:val="00990D6C"/>
    <w:rsid w:val="009A6EFE"/>
    <w:rsid w:val="009D4353"/>
    <w:rsid w:val="009E3A16"/>
    <w:rsid w:val="009E52F1"/>
    <w:rsid w:val="009E76AD"/>
    <w:rsid w:val="00A02B2C"/>
    <w:rsid w:val="00A22AA2"/>
    <w:rsid w:val="00A26E93"/>
    <w:rsid w:val="00A50236"/>
    <w:rsid w:val="00A5293C"/>
    <w:rsid w:val="00A54777"/>
    <w:rsid w:val="00A55163"/>
    <w:rsid w:val="00A77618"/>
    <w:rsid w:val="00A8118F"/>
    <w:rsid w:val="00A82CED"/>
    <w:rsid w:val="00AB029D"/>
    <w:rsid w:val="00AB68B4"/>
    <w:rsid w:val="00AC1A66"/>
    <w:rsid w:val="00AD1F97"/>
    <w:rsid w:val="00AF7AB1"/>
    <w:rsid w:val="00B0382C"/>
    <w:rsid w:val="00B11A08"/>
    <w:rsid w:val="00B31454"/>
    <w:rsid w:val="00B31D29"/>
    <w:rsid w:val="00B340AA"/>
    <w:rsid w:val="00B37E95"/>
    <w:rsid w:val="00B4042F"/>
    <w:rsid w:val="00B43201"/>
    <w:rsid w:val="00B4338D"/>
    <w:rsid w:val="00B45C1B"/>
    <w:rsid w:val="00B536F0"/>
    <w:rsid w:val="00B53E2F"/>
    <w:rsid w:val="00B77AC9"/>
    <w:rsid w:val="00B91A5C"/>
    <w:rsid w:val="00B9465F"/>
    <w:rsid w:val="00BC727C"/>
    <w:rsid w:val="00BE008A"/>
    <w:rsid w:val="00BF0672"/>
    <w:rsid w:val="00BF3B70"/>
    <w:rsid w:val="00BF527E"/>
    <w:rsid w:val="00C01BDE"/>
    <w:rsid w:val="00C04953"/>
    <w:rsid w:val="00C05AD4"/>
    <w:rsid w:val="00C10983"/>
    <w:rsid w:val="00C33D84"/>
    <w:rsid w:val="00C3501F"/>
    <w:rsid w:val="00C605EA"/>
    <w:rsid w:val="00C64B02"/>
    <w:rsid w:val="00C748F2"/>
    <w:rsid w:val="00C9276F"/>
    <w:rsid w:val="00C961B4"/>
    <w:rsid w:val="00CA6727"/>
    <w:rsid w:val="00CC4357"/>
    <w:rsid w:val="00CE1369"/>
    <w:rsid w:val="00CE307B"/>
    <w:rsid w:val="00CF79B5"/>
    <w:rsid w:val="00D11B13"/>
    <w:rsid w:val="00D1697E"/>
    <w:rsid w:val="00D2075C"/>
    <w:rsid w:val="00D24EDB"/>
    <w:rsid w:val="00D45340"/>
    <w:rsid w:val="00D53C75"/>
    <w:rsid w:val="00D550E4"/>
    <w:rsid w:val="00D5681C"/>
    <w:rsid w:val="00D667B1"/>
    <w:rsid w:val="00D72314"/>
    <w:rsid w:val="00D75B0F"/>
    <w:rsid w:val="00D80ED9"/>
    <w:rsid w:val="00D81A3E"/>
    <w:rsid w:val="00D83145"/>
    <w:rsid w:val="00D831F7"/>
    <w:rsid w:val="00D876DB"/>
    <w:rsid w:val="00DA6464"/>
    <w:rsid w:val="00DB2DDB"/>
    <w:rsid w:val="00DD3850"/>
    <w:rsid w:val="00DE28F6"/>
    <w:rsid w:val="00DE3298"/>
    <w:rsid w:val="00DF513E"/>
    <w:rsid w:val="00E01D4A"/>
    <w:rsid w:val="00E24902"/>
    <w:rsid w:val="00E33825"/>
    <w:rsid w:val="00E34458"/>
    <w:rsid w:val="00E4462E"/>
    <w:rsid w:val="00E506AB"/>
    <w:rsid w:val="00E52053"/>
    <w:rsid w:val="00E525B9"/>
    <w:rsid w:val="00E55223"/>
    <w:rsid w:val="00E7403D"/>
    <w:rsid w:val="00E75A4B"/>
    <w:rsid w:val="00E83217"/>
    <w:rsid w:val="00EA05CF"/>
    <w:rsid w:val="00EC236D"/>
    <w:rsid w:val="00EC4A49"/>
    <w:rsid w:val="00ED26FD"/>
    <w:rsid w:val="00F14258"/>
    <w:rsid w:val="00F172D6"/>
    <w:rsid w:val="00F23F18"/>
    <w:rsid w:val="00F24E2F"/>
    <w:rsid w:val="00F2618C"/>
    <w:rsid w:val="00F35DA2"/>
    <w:rsid w:val="00F4336F"/>
    <w:rsid w:val="00F47487"/>
    <w:rsid w:val="00F5102E"/>
    <w:rsid w:val="00F57229"/>
    <w:rsid w:val="00F65882"/>
    <w:rsid w:val="00F87B48"/>
    <w:rsid w:val="00FA3AA6"/>
    <w:rsid w:val="00FB7297"/>
    <w:rsid w:val="00FB7B14"/>
    <w:rsid w:val="00FB7F2D"/>
    <w:rsid w:val="00FF5104"/>
    <w:rsid w:val="01D20762"/>
    <w:rsid w:val="02C34219"/>
    <w:rsid w:val="03EB0B30"/>
    <w:rsid w:val="042C6256"/>
    <w:rsid w:val="043E306D"/>
    <w:rsid w:val="04435109"/>
    <w:rsid w:val="05BE739F"/>
    <w:rsid w:val="06C64BB3"/>
    <w:rsid w:val="07FB56FF"/>
    <w:rsid w:val="07FB7BE0"/>
    <w:rsid w:val="084537DB"/>
    <w:rsid w:val="091F5623"/>
    <w:rsid w:val="09287E43"/>
    <w:rsid w:val="09FF09FD"/>
    <w:rsid w:val="0B880AD1"/>
    <w:rsid w:val="0CC522F4"/>
    <w:rsid w:val="0DA872DD"/>
    <w:rsid w:val="0DB802C2"/>
    <w:rsid w:val="0E7000C6"/>
    <w:rsid w:val="0EED7CDF"/>
    <w:rsid w:val="0EFE3404"/>
    <w:rsid w:val="0F2E71C7"/>
    <w:rsid w:val="0F5D6B0B"/>
    <w:rsid w:val="101D0353"/>
    <w:rsid w:val="107021C7"/>
    <w:rsid w:val="107F6E97"/>
    <w:rsid w:val="10B0164B"/>
    <w:rsid w:val="111A1773"/>
    <w:rsid w:val="11426D61"/>
    <w:rsid w:val="11C16DF7"/>
    <w:rsid w:val="12112ACC"/>
    <w:rsid w:val="129A5418"/>
    <w:rsid w:val="12AC4EE8"/>
    <w:rsid w:val="13A33BBE"/>
    <w:rsid w:val="14274E45"/>
    <w:rsid w:val="14487B2A"/>
    <w:rsid w:val="14602F86"/>
    <w:rsid w:val="162F21BD"/>
    <w:rsid w:val="16473F58"/>
    <w:rsid w:val="16C02585"/>
    <w:rsid w:val="16E54F14"/>
    <w:rsid w:val="174A3AC5"/>
    <w:rsid w:val="18AE2F7F"/>
    <w:rsid w:val="18B66A57"/>
    <w:rsid w:val="18F718E8"/>
    <w:rsid w:val="197F0D77"/>
    <w:rsid w:val="19C22D42"/>
    <w:rsid w:val="19CD63C6"/>
    <w:rsid w:val="1A4A6291"/>
    <w:rsid w:val="1A6D4E05"/>
    <w:rsid w:val="1B2F03F3"/>
    <w:rsid w:val="1B6F21D6"/>
    <w:rsid w:val="1B9F161D"/>
    <w:rsid w:val="1BC17209"/>
    <w:rsid w:val="1C0367B2"/>
    <w:rsid w:val="1C1C045F"/>
    <w:rsid w:val="1C257ABD"/>
    <w:rsid w:val="1C996E67"/>
    <w:rsid w:val="1D19740B"/>
    <w:rsid w:val="1E391E09"/>
    <w:rsid w:val="1F3E5C53"/>
    <w:rsid w:val="1FA172B1"/>
    <w:rsid w:val="20465DE6"/>
    <w:rsid w:val="21463B22"/>
    <w:rsid w:val="21AC4CA8"/>
    <w:rsid w:val="24070FE8"/>
    <w:rsid w:val="2418787E"/>
    <w:rsid w:val="24E33FC8"/>
    <w:rsid w:val="2657207D"/>
    <w:rsid w:val="2701570E"/>
    <w:rsid w:val="270B07EC"/>
    <w:rsid w:val="278E1E09"/>
    <w:rsid w:val="279444E3"/>
    <w:rsid w:val="28D654D7"/>
    <w:rsid w:val="29F26F98"/>
    <w:rsid w:val="2A830687"/>
    <w:rsid w:val="2A844970"/>
    <w:rsid w:val="2A9D65B8"/>
    <w:rsid w:val="2BE37E99"/>
    <w:rsid w:val="2D364B32"/>
    <w:rsid w:val="2DC67031"/>
    <w:rsid w:val="2DD31387"/>
    <w:rsid w:val="2EF51289"/>
    <w:rsid w:val="2EF93010"/>
    <w:rsid w:val="2FFA77AC"/>
    <w:rsid w:val="30067535"/>
    <w:rsid w:val="306A08F5"/>
    <w:rsid w:val="309F240D"/>
    <w:rsid w:val="30D60252"/>
    <w:rsid w:val="312C3DD9"/>
    <w:rsid w:val="32FA1B0D"/>
    <w:rsid w:val="334318AA"/>
    <w:rsid w:val="33E44CC5"/>
    <w:rsid w:val="34D0728D"/>
    <w:rsid w:val="34DF1BA3"/>
    <w:rsid w:val="35375950"/>
    <w:rsid w:val="35DE456B"/>
    <w:rsid w:val="3653537D"/>
    <w:rsid w:val="366D2D42"/>
    <w:rsid w:val="372D3CB3"/>
    <w:rsid w:val="376072EE"/>
    <w:rsid w:val="39493B20"/>
    <w:rsid w:val="399D307E"/>
    <w:rsid w:val="39B0658A"/>
    <w:rsid w:val="39D528AF"/>
    <w:rsid w:val="39D97B8B"/>
    <w:rsid w:val="39E360A9"/>
    <w:rsid w:val="3A4E79F9"/>
    <w:rsid w:val="3AB63485"/>
    <w:rsid w:val="3BA54C7C"/>
    <w:rsid w:val="3BDC6C9A"/>
    <w:rsid w:val="3BF866DE"/>
    <w:rsid w:val="3C5D0826"/>
    <w:rsid w:val="3CE27016"/>
    <w:rsid w:val="3D29480A"/>
    <w:rsid w:val="3D4F348E"/>
    <w:rsid w:val="3E7B5696"/>
    <w:rsid w:val="3E8F46D4"/>
    <w:rsid w:val="3E9806C1"/>
    <w:rsid w:val="3F1F57B2"/>
    <w:rsid w:val="3F423CEB"/>
    <w:rsid w:val="3FC549D5"/>
    <w:rsid w:val="3FE64AD5"/>
    <w:rsid w:val="40FA1B97"/>
    <w:rsid w:val="41AD1276"/>
    <w:rsid w:val="42283722"/>
    <w:rsid w:val="42B72969"/>
    <w:rsid w:val="4498662B"/>
    <w:rsid w:val="44E862B7"/>
    <w:rsid w:val="44F216E3"/>
    <w:rsid w:val="466A1B8F"/>
    <w:rsid w:val="468A21AA"/>
    <w:rsid w:val="46B43011"/>
    <w:rsid w:val="48662350"/>
    <w:rsid w:val="496D6D3B"/>
    <w:rsid w:val="49C0625B"/>
    <w:rsid w:val="4A25185D"/>
    <w:rsid w:val="4ABC46F5"/>
    <w:rsid w:val="4ACB245D"/>
    <w:rsid w:val="4B8249FA"/>
    <w:rsid w:val="4B8A6B5E"/>
    <w:rsid w:val="4BB44D15"/>
    <w:rsid w:val="4CB17B1D"/>
    <w:rsid w:val="4DCD66BB"/>
    <w:rsid w:val="4DE6326D"/>
    <w:rsid w:val="4E341F2B"/>
    <w:rsid w:val="4E7A2CC2"/>
    <w:rsid w:val="4FA92488"/>
    <w:rsid w:val="4FAB67CF"/>
    <w:rsid w:val="502C417D"/>
    <w:rsid w:val="503248FD"/>
    <w:rsid w:val="50420767"/>
    <w:rsid w:val="519C6623"/>
    <w:rsid w:val="51A858B4"/>
    <w:rsid w:val="51B248BA"/>
    <w:rsid w:val="52760340"/>
    <w:rsid w:val="52B528AC"/>
    <w:rsid w:val="533044C5"/>
    <w:rsid w:val="53D65275"/>
    <w:rsid w:val="55832224"/>
    <w:rsid w:val="56505B05"/>
    <w:rsid w:val="567E70CD"/>
    <w:rsid w:val="56A845EF"/>
    <w:rsid w:val="56C66F9B"/>
    <w:rsid w:val="57780D75"/>
    <w:rsid w:val="57D91886"/>
    <w:rsid w:val="597D119A"/>
    <w:rsid w:val="59FB4246"/>
    <w:rsid w:val="5A247923"/>
    <w:rsid w:val="5AE6268D"/>
    <w:rsid w:val="5C0B35D6"/>
    <w:rsid w:val="5C43106F"/>
    <w:rsid w:val="5C63367E"/>
    <w:rsid w:val="5DBE279E"/>
    <w:rsid w:val="5DF12EDF"/>
    <w:rsid w:val="5E666EAD"/>
    <w:rsid w:val="6002036A"/>
    <w:rsid w:val="60395E27"/>
    <w:rsid w:val="60A24B04"/>
    <w:rsid w:val="60EA056F"/>
    <w:rsid w:val="62632D09"/>
    <w:rsid w:val="62C35BC0"/>
    <w:rsid w:val="63D42677"/>
    <w:rsid w:val="642F297B"/>
    <w:rsid w:val="6485055F"/>
    <w:rsid w:val="64A54D6A"/>
    <w:rsid w:val="64B244F7"/>
    <w:rsid w:val="66E63105"/>
    <w:rsid w:val="68684C27"/>
    <w:rsid w:val="693C4680"/>
    <w:rsid w:val="6960239B"/>
    <w:rsid w:val="6964419B"/>
    <w:rsid w:val="69AB5503"/>
    <w:rsid w:val="6A650D47"/>
    <w:rsid w:val="6AC635DE"/>
    <w:rsid w:val="6BC6111D"/>
    <w:rsid w:val="6D6642CD"/>
    <w:rsid w:val="6ED835E1"/>
    <w:rsid w:val="6F3F0686"/>
    <w:rsid w:val="6F9051F6"/>
    <w:rsid w:val="70513418"/>
    <w:rsid w:val="705532E4"/>
    <w:rsid w:val="705C5DE4"/>
    <w:rsid w:val="70B00AA6"/>
    <w:rsid w:val="720040E0"/>
    <w:rsid w:val="726D2909"/>
    <w:rsid w:val="72C92CF6"/>
    <w:rsid w:val="735B00D0"/>
    <w:rsid w:val="73936264"/>
    <w:rsid w:val="73BD0CC6"/>
    <w:rsid w:val="73C67EEC"/>
    <w:rsid w:val="73CE745E"/>
    <w:rsid w:val="744F405F"/>
    <w:rsid w:val="748F4BBF"/>
    <w:rsid w:val="74C971E3"/>
    <w:rsid w:val="75430EBC"/>
    <w:rsid w:val="75471E1E"/>
    <w:rsid w:val="75F51D7B"/>
    <w:rsid w:val="7604206F"/>
    <w:rsid w:val="76310EA8"/>
    <w:rsid w:val="76660D31"/>
    <w:rsid w:val="768E62C5"/>
    <w:rsid w:val="76F045B2"/>
    <w:rsid w:val="77424185"/>
    <w:rsid w:val="77811E58"/>
    <w:rsid w:val="77A0508D"/>
    <w:rsid w:val="77BA2467"/>
    <w:rsid w:val="77C302F9"/>
    <w:rsid w:val="78081FFF"/>
    <w:rsid w:val="7844299E"/>
    <w:rsid w:val="79BC7566"/>
    <w:rsid w:val="7B4A4289"/>
    <w:rsid w:val="7C267445"/>
    <w:rsid w:val="7D0C73DB"/>
    <w:rsid w:val="7D967A06"/>
    <w:rsid w:val="7E3F31B1"/>
    <w:rsid w:val="7E9A0DF0"/>
    <w:rsid w:val="7ED77BDA"/>
    <w:rsid w:val="7EE648F4"/>
    <w:rsid w:val="7F313A6B"/>
    <w:rsid w:val="7F8E1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Balloon Text"/>
    <w:basedOn w:val="1"/>
    <w:qFormat/>
    <w:uiPriority w:val="0"/>
    <w:rPr>
      <w:sz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4"/>
    <w:uiPriority w:val="99"/>
    <w:pPr>
      <w:pBdr>
        <w:bottom w:val="single" w:color="auto" w:sz="6" w:space="1"/>
      </w:pBdr>
      <w:tabs>
        <w:tab w:val="center" w:pos="4153"/>
        <w:tab w:val="right" w:pos="8306"/>
      </w:tabs>
      <w:snapToGrid w:val="0"/>
      <w:jc w:val="center"/>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styleId="10">
    <w:name w:val="Hyperlink"/>
    <w:uiPriority w:val="0"/>
    <w:rPr>
      <w:color w:val="0000FF"/>
      <w:u w:val="single"/>
    </w:rPr>
  </w:style>
  <w:style w:type="character" w:customStyle="1" w:styleId="11">
    <w:name w:val="Char Char1"/>
    <w:locked/>
    <w:uiPriority w:val="0"/>
    <w:rPr>
      <w:rFonts w:hint="eastAsia" w:ascii="宋体" w:hAnsi="Courier New" w:eastAsia="宋体"/>
      <w:kern w:val="2"/>
      <w:sz w:val="21"/>
      <w:lang w:val="en-US" w:eastAsia="zh-CN" w:bidi="ar-SA"/>
    </w:rPr>
  </w:style>
  <w:style w:type="character" w:customStyle="1" w:styleId="12">
    <w:name w:val="Char Char"/>
    <w:uiPriority w:val="0"/>
    <w:rPr>
      <w:rFonts w:eastAsia="宋体"/>
      <w:kern w:val="2"/>
      <w:sz w:val="18"/>
      <w:lang w:val="en-US" w:eastAsia="zh-CN"/>
    </w:rPr>
  </w:style>
  <w:style w:type="character" w:customStyle="1" w:styleId="13">
    <w:name w:val="页脚 Char"/>
    <w:link w:val="4"/>
    <w:qFormat/>
    <w:uiPriority w:val="99"/>
    <w:rPr>
      <w:kern w:val="2"/>
      <w:sz w:val="18"/>
    </w:rPr>
  </w:style>
  <w:style w:type="character" w:customStyle="1" w:styleId="14">
    <w:name w:val="页眉 Char"/>
    <w:link w:val="5"/>
    <w:qFormat/>
    <w:uiPriority w:val="99"/>
    <w:rPr>
      <w:kern w:val="2"/>
      <w:sz w:val="18"/>
    </w:rPr>
  </w:style>
  <w:style w:type="character" w:customStyle="1" w:styleId="15">
    <w:name w:val="Font Style99"/>
    <w:uiPriority w:val="0"/>
    <w:rPr>
      <w:rFonts w:ascii="黑体" w:eastAsia="黑体" w:cs="黑体"/>
      <w:sz w:val="20"/>
      <w:szCs w:val="20"/>
    </w:rPr>
  </w:style>
  <w:style w:type="paragraph" w:customStyle="1" w:styleId="1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7">
    <w:name w:val="一级条标题"/>
    <w:next w:val="16"/>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18">
    <w:name w:val="二级无"/>
    <w:basedOn w:val="19"/>
    <w:qFormat/>
    <w:uiPriority w:val="0"/>
    <w:pPr>
      <w:spacing w:beforeLines="0" w:afterLines="0"/>
    </w:pPr>
    <w:rPr>
      <w:rFonts w:ascii="宋体" w:eastAsia="宋体"/>
    </w:rPr>
  </w:style>
  <w:style w:type="paragraph" w:customStyle="1" w:styleId="19">
    <w:name w:val="二级条标题"/>
    <w:basedOn w:val="17"/>
    <w:next w:val="16"/>
    <w:uiPriority w:val="0"/>
    <w:pPr>
      <w:spacing w:before="50" w:after="50"/>
      <w:outlineLvl w:val="3"/>
    </w:pPr>
  </w:style>
  <w:style w:type="paragraph" w:customStyle="1" w:styleId="20">
    <w:name w:val="Char"/>
    <w:basedOn w:val="1"/>
    <w:qFormat/>
    <w:uiPriority w:val="0"/>
    <w:pPr>
      <w:tabs>
        <w:tab w:val="left" w:pos="252"/>
      </w:tabs>
      <w:ind w:left="252" w:hanging="360"/>
    </w:pPr>
  </w:style>
  <w:style w:type="paragraph" w:customStyle="1" w:styleId="21">
    <w:name w:val="三级条标题"/>
    <w:basedOn w:val="19"/>
    <w:next w:val="16"/>
    <w:uiPriority w:val="0"/>
    <w:pPr>
      <w:outlineLvl w:val="4"/>
    </w:pPr>
  </w:style>
  <w:style w:type="paragraph" w:customStyle="1" w:styleId="22">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3">
    <w:name w:val="Char1"/>
    <w:basedOn w:val="1"/>
    <w:uiPriority w:val="0"/>
    <w:pPr>
      <w:tabs>
        <w:tab w:val="left" w:pos="252"/>
      </w:tabs>
      <w:ind w:left="252" w:hanging="360"/>
    </w:pPr>
    <w:rPr>
      <w:sz w:val="24"/>
    </w:rPr>
  </w:style>
  <w:style w:type="paragraph" w:customStyle="1" w:styleId="24">
    <w:name w:val="三级无"/>
    <w:basedOn w:val="21"/>
    <w:qFormat/>
    <w:uiPriority w:val="0"/>
    <w:pPr>
      <w:spacing w:beforeLines="0" w:afterLines="0"/>
    </w:pPr>
    <w:rPr>
      <w:rFonts w:ascii="宋体" w:eastAsia="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9"/>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1020</Words>
  <Characters>5816</Characters>
  <Lines>48</Lines>
  <Paragraphs>13</Paragraphs>
  <TotalTime>577</TotalTime>
  <ScaleCrop>false</ScaleCrop>
  <LinksUpToDate>false</LinksUpToDate>
  <CharactersWithSpaces>6823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2021-04-20T13:36:00Z</dcterms:created>
  <dc:creator>ctcjw</dc:creator>
  <cp:lastModifiedBy>win8</cp:lastModifiedBy>
  <cp:lastPrinted>2010-12-27T06:36:00Z</cp:lastPrinted>
  <dcterms:modified xsi:type="dcterms:W3CDTF">2021-04-24T01:45:23Z</dcterms:modified>
  <dc:title>审 核 计 划(二阶段/监督/再认证/其他)</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