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辽宁省玖泰控股集团有限公司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0071-2021-QEO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王志慧</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2018-N1QMS-2210615</w:t>
            </w:r>
          </w:p>
          <w:p w:rsidR="009F508A">
            <w:pPr>
              <w:snapToGrid w:val="0"/>
              <w:spacing w:line="320" w:lineRule="exact"/>
              <w:ind w:left="1309"/>
              <w:rPr>
                <w:sz w:val="22"/>
                <w:szCs w:val="22"/>
                <w:highlight w:val="yellow"/>
              </w:rPr>
            </w:pPr>
            <w:r>
              <w:rPr>
                <w:sz w:val="22"/>
                <w:szCs w:val="22"/>
                <w:highlight w:val="yellow"/>
              </w:rPr>
              <w:t>2018-N1EMS-1210615</w:t>
            </w:r>
          </w:p>
          <w:p w:rsidR="009F508A">
            <w:pPr>
              <w:snapToGrid w:val="0"/>
              <w:spacing w:line="320" w:lineRule="exact"/>
              <w:ind w:left="1309"/>
              <w:rPr>
                <w:sz w:val="22"/>
                <w:szCs w:val="22"/>
                <w:highlight w:val="yellow"/>
              </w:rPr>
            </w:pPr>
            <w:r>
              <w:rPr>
                <w:sz w:val="22"/>
                <w:szCs w:val="22"/>
                <w:highlight w:val="yellow"/>
              </w:rPr>
              <w:t>2018-N1OHSMS-1210615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刘本胜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2021-N0QMS-1274202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王艺宁</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ISC-JSZJ-248</w:t>
            </w:r>
          </w:p>
          <w:p w:rsidR="009F508A">
            <w:pPr>
              <w:snapToGrid w:val="0"/>
              <w:spacing w:line="320" w:lineRule="exact"/>
              <w:ind w:left="1309"/>
              <w:rPr>
                <w:sz w:val="22"/>
                <w:szCs w:val="22"/>
                <w:highlight w:val="yellow"/>
              </w:rPr>
            </w:pPr>
            <w:r>
              <w:rPr>
                <w:sz w:val="22"/>
                <w:szCs w:val="22"/>
                <w:highlight w:val="yellow"/>
              </w:rPr>
              <w:t>ISC-JSZJ-248</w:t>
            </w:r>
          </w:p>
          <w:p w:rsidR="009F508A">
            <w:pPr>
              <w:snapToGrid w:val="0"/>
              <w:spacing w:line="320" w:lineRule="exact"/>
              <w:ind w:left="1309"/>
              <w:rPr>
                <w:sz w:val="22"/>
                <w:szCs w:val="22"/>
                <w:highlight w:val="yellow"/>
              </w:rPr>
            </w:pPr>
            <w:r>
              <w:rPr>
                <w:sz w:val="22"/>
                <w:szCs w:val="22"/>
                <w:highlight w:val="yellow"/>
              </w:rPr>
              <w:t>ISC-JSZJ-248</w:t>
            </w:r>
          </w:p>
          <w:p w:rsidR="009F508A">
            <w:pPr>
              <w:snapToGrid w:val="0"/>
              <w:spacing w:line="320" w:lineRule="exact"/>
              <w:ind w:left="1309"/>
              <w:rPr>
                <w:sz w:val="22"/>
                <w:szCs w:val="22"/>
                <w:highlight w:val="yellow"/>
              </w:rPr>
            </w:pPr>
            <w:r>
              <w:rPr>
                <w:sz w:val="22"/>
                <w:szCs w:val="22"/>
                <w:highlight w:val="yellow"/>
              </w:rPr>
              <w:t>沈阳万科物业服务有限公司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