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Lines="30"/>
        <w:jc w:val="center"/>
        <w:rPr>
          <w:rFonts w:ascii="楷体" w:hAnsi="楷体" w:eastAsia="楷体"/>
          <w:b/>
          <w:color w:val="000000" w:themeColor="text1"/>
          <w:sz w:val="84"/>
          <w:szCs w:val="84"/>
        </w:rPr>
      </w:pPr>
      <w:r>
        <w:rPr>
          <w:szCs w:val="21"/>
        </w:rPr>
        <w:drawing>
          <wp:anchor distT="0" distB="0" distL="114300" distR="114300" simplePos="0" relativeHeight="251660288"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4" cstate="print"/>
                    <a:stretch>
                      <a:fillRect/>
                    </a:stretch>
                  </pic:blipFill>
                  <pic:spPr>
                    <a:xfrm>
                      <a:off x="0" y="0"/>
                      <a:ext cx="1724025" cy="1490345"/>
                    </a:xfrm>
                    <a:prstGeom prst="rect">
                      <a:avLst/>
                    </a:prstGeom>
                    <a:noFill/>
                    <a:ln w="9525">
                      <a:noFill/>
                    </a:ln>
                  </pic:spPr>
                </pic:pic>
              </a:graphicData>
            </a:graphic>
          </wp:anchor>
        </w:drawing>
      </w: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2"/>
          <w:szCs w:val="32"/>
        </w:rPr>
      </w:pPr>
    </w:p>
    <w:p>
      <w:pPr>
        <w:snapToGrid w:val="0"/>
        <w:spacing w:afterLines="30"/>
        <w:ind w:firstLine="321" w:firstLineChars="100"/>
        <w:rPr>
          <w:rFonts w:hint="eastAsia" w:ascii="楷体" w:hAnsi="楷体" w:eastAsia="楷体"/>
          <w:b/>
          <w:color w:val="000000" w:themeColor="text1"/>
          <w:sz w:val="32"/>
          <w:szCs w:val="32"/>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襄阳高歌汽车部件有限公司</w:t>
      </w:r>
      <w:bookmarkEnd w:id="0"/>
    </w:p>
    <w:p>
      <w:pPr>
        <w:snapToGrid w:val="0"/>
        <w:spacing w:afterLines="30"/>
        <w:ind w:firstLine="1928" w:firstLineChars="600"/>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Lines="30"/>
        <w:ind w:firstLine="957" w:firstLineChars="298"/>
        <w:rPr>
          <w:rFonts w:ascii="楷体" w:hAnsi="楷体" w:eastAsia="楷体"/>
          <w:b/>
          <w:color w:val="000000" w:themeColor="text1"/>
          <w:sz w:val="32"/>
          <w:szCs w:val="32"/>
        </w:rPr>
      </w:pPr>
      <w:r>
        <w:rPr>
          <w:rFonts w:hint="eastAsia" w:ascii="宋体" w:hAnsi="宋体" w:eastAsia="宋体" w:cs="宋体"/>
          <w:b/>
          <w:color w:val="000000" w:themeColor="text1"/>
          <w:sz w:val="32"/>
          <w:szCs w:val="32"/>
        </w:rPr>
        <w:t>█</w:t>
      </w:r>
      <w:r>
        <w:rPr>
          <w:rFonts w:hint="eastAsia" w:ascii="楷体" w:hAnsi="楷体" w:eastAsia="楷体"/>
          <w:b/>
          <w:color w:val="000000" w:themeColor="text1"/>
          <w:sz w:val="32"/>
          <w:szCs w:val="32"/>
        </w:rPr>
        <w:t>质量管理体系（QMS）</w:t>
      </w:r>
    </w:p>
    <w:p>
      <w:pPr>
        <w:snapToGrid w:val="0"/>
        <w:spacing w:afterLines="30"/>
        <w:ind w:firstLine="957" w:firstLineChars="298"/>
        <w:rPr>
          <w:rFonts w:ascii="楷体" w:hAnsi="楷体" w:eastAsia="楷体"/>
          <w:b/>
          <w:color w:val="000000" w:themeColor="text1"/>
          <w:sz w:val="32"/>
          <w:szCs w:val="32"/>
        </w:rPr>
      </w:pPr>
      <w:r>
        <w:rPr>
          <w:rFonts w:hint="eastAsia" w:ascii="宋体" w:hAnsi="宋体" w:eastAsia="宋体" w:cs="宋体"/>
          <w:b/>
          <w:color w:val="000000" w:themeColor="text1"/>
          <w:sz w:val="32"/>
          <w:szCs w:val="32"/>
        </w:rPr>
        <w:sym w:font="Wingdings" w:char="00A8"/>
      </w:r>
      <w:r>
        <w:rPr>
          <w:rFonts w:hint="eastAsia" w:ascii="楷体" w:hAnsi="楷体" w:eastAsia="楷体"/>
          <w:b/>
          <w:color w:val="000000" w:themeColor="text1"/>
          <w:sz w:val="32"/>
          <w:szCs w:val="32"/>
        </w:rPr>
        <w:t>环境管理体系（EMS）</w:t>
      </w:r>
    </w:p>
    <w:p>
      <w:pPr>
        <w:snapToGrid w:val="0"/>
        <w:spacing w:afterLines="30"/>
        <w:ind w:firstLine="957" w:firstLineChars="298"/>
        <w:rPr>
          <w:rFonts w:ascii="楷体" w:hAnsi="楷体" w:eastAsia="楷体"/>
          <w:b/>
          <w:color w:val="000000" w:themeColor="text1"/>
          <w:sz w:val="32"/>
          <w:szCs w:val="32"/>
        </w:rPr>
      </w:pPr>
      <w:r>
        <w:rPr>
          <w:rFonts w:hint="eastAsia" w:ascii="宋体" w:hAnsi="宋体" w:eastAsia="宋体" w:cs="宋体"/>
          <w:b/>
          <w:color w:val="000000" w:themeColor="text1"/>
          <w:sz w:val="32"/>
          <w:szCs w:val="32"/>
        </w:rPr>
        <w:sym w:font="Wingdings" w:char="00A8"/>
      </w:r>
      <w:r>
        <w:rPr>
          <w:rFonts w:hint="eastAsia" w:ascii="楷体" w:hAnsi="楷体" w:eastAsia="楷体"/>
          <w:b/>
          <w:color w:val="000000" w:themeColor="text1"/>
          <w:sz w:val="32"/>
          <w:szCs w:val="32"/>
        </w:rPr>
        <w:t>职业健康安全管理体系（OHSMS）</w:t>
      </w:r>
    </w:p>
    <w:p>
      <w:pPr>
        <w:snapToGrid w:val="0"/>
        <w:spacing w:afterLines="30"/>
        <w:jc w:val="center"/>
        <w:rPr>
          <w:rFonts w:ascii="楷体" w:hAnsi="楷体" w:eastAsia="楷体"/>
          <w:b/>
          <w:color w:val="000000" w:themeColor="text1"/>
          <w:sz w:val="84"/>
          <w:szCs w:val="84"/>
        </w:rPr>
      </w:pPr>
    </w:p>
    <w:p>
      <w:pPr>
        <w:snapToGrid w:val="0"/>
        <w:spacing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rPr>
          <w:rStyle w:val="10"/>
          <w:rFonts w:hint="eastAsia" w:ascii="楷体" w:hAnsi="楷体" w:eastAsia="楷体"/>
          <w:b/>
          <w:sz w:val="36"/>
          <w:szCs w:val="36"/>
        </w:rPr>
        <w:fldChar w:fldCharType="end"/>
      </w:r>
    </w:p>
    <w:p>
      <w:pPr>
        <w:widowControl/>
        <w:ind w:firstLine="2172" w:firstLineChars="601"/>
        <w:jc w:val="left"/>
        <w:rPr>
          <w:rFonts w:hint="eastAsia" w:ascii="楷体" w:hAnsi="楷体" w:eastAsia="楷体"/>
          <w:b/>
          <w:color w:val="000000" w:themeColor="text1"/>
          <w:sz w:val="36"/>
          <w:szCs w:val="36"/>
        </w:rPr>
      </w:pPr>
    </w:p>
    <w:p>
      <w:pPr>
        <w:widowControl/>
        <w:ind w:firstLine="2172" w:firstLineChars="601"/>
        <w:jc w:val="left"/>
        <w:rPr>
          <w:rFonts w:hint="eastAsia" w:ascii="楷体" w:hAnsi="楷体" w:eastAsia="楷体"/>
          <w:b/>
          <w:color w:val="000000" w:themeColor="text1"/>
          <w:sz w:val="36"/>
          <w:szCs w:val="36"/>
        </w:rPr>
      </w:pPr>
    </w:p>
    <w:p>
      <w:pPr>
        <w:widowControl/>
        <w:ind w:firstLine="2172" w:firstLineChars="601"/>
        <w:jc w:val="left"/>
        <w:rPr>
          <w:rFonts w:hint="eastAsia"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865"/>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pStyle w:val="11"/>
              <w:ind w:left="-142" w:firstLine="0" w:firstLineChars="0"/>
              <w:rPr>
                <w:b/>
                <w:color w:val="000000" w:themeColor="text1"/>
                <w:sz w:val="20"/>
                <w:szCs w:val="20"/>
                <w:lang w:val="de-DE"/>
              </w:rPr>
            </w:pPr>
            <w:r>
              <w:rPr>
                <w:rFonts w:hint="eastAsia"/>
                <w:b/>
                <w:color w:val="000000" w:themeColor="text1"/>
                <w:sz w:val="20"/>
                <w:szCs w:val="20"/>
              </w:rPr>
              <w:t>北京市朝阳区北苑路168号楼16层1603号</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rFonts w:hint="eastAsia"/>
                <w:b/>
                <w:color w:val="000000" w:themeColor="text1"/>
                <w:sz w:val="20"/>
                <w:szCs w:val="20"/>
              </w:rPr>
              <w:t>51095332</w:t>
            </w:r>
          </w:p>
        </w:tc>
        <w:tc>
          <w:tcPr>
            <w:tcW w:w="865" w:type="dxa"/>
            <w:vAlign w:val="center"/>
          </w:tcPr>
          <w:p>
            <w:pPr>
              <w:rPr>
                <w:b/>
                <w:color w:val="000000" w:themeColor="text1"/>
                <w:sz w:val="20"/>
                <w:szCs w:val="20"/>
              </w:rPr>
            </w:pPr>
            <w:r>
              <w:rPr>
                <w:rFonts w:hint="eastAsia"/>
                <w:b/>
                <w:color w:val="000000" w:themeColor="text1"/>
                <w:sz w:val="20"/>
                <w:szCs w:val="20"/>
              </w:rPr>
              <w:t>邮箱</w:t>
            </w: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jc w:val="center"/>
              <w:rPr>
                <w:b/>
                <w:color w:val="000000" w:themeColor="text1"/>
                <w:sz w:val="20"/>
                <w:szCs w:val="20"/>
              </w:rPr>
            </w:pPr>
            <w:r>
              <w:rPr>
                <w:rFonts w:hint="eastAsia"/>
                <w:b/>
                <w:color w:val="000000" w:themeColor="text1"/>
                <w:sz w:val="20"/>
                <w:szCs w:val="20"/>
              </w:rPr>
              <w:t>姓名</w:t>
            </w:r>
          </w:p>
        </w:tc>
        <w:tc>
          <w:tcPr>
            <w:tcW w:w="992" w:type="dxa"/>
            <w:vAlign w:val="center"/>
          </w:tcPr>
          <w:p>
            <w:pPr>
              <w:jc w:val="center"/>
              <w:rPr>
                <w:b/>
                <w:color w:val="000000" w:themeColor="text1"/>
                <w:sz w:val="20"/>
                <w:szCs w:val="20"/>
              </w:rPr>
            </w:pPr>
            <w:r>
              <w:rPr>
                <w:rFonts w:hint="eastAsia"/>
                <w:b/>
                <w:color w:val="000000" w:themeColor="text1"/>
                <w:sz w:val="20"/>
                <w:szCs w:val="20"/>
              </w:rPr>
              <w:t>性别</w:t>
            </w:r>
          </w:p>
        </w:tc>
        <w:tc>
          <w:tcPr>
            <w:tcW w:w="1216" w:type="dxa"/>
            <w:vAlign w:val="center"/>
          </w:tcPr>
          <w:p>
            <w:pPr>
              <w:jc w:val="center"/>
              <w:rPr>
                <w:b/>
                <w:color w:val="000000" w:themeColor="text1"/>
                <w:sz w:val="20"/>
                <w:szCs w:val="20"/>
              </w:rPr>
            </w:pPr>
            <w:r>
              <w:rPr>
                <w:rFonts w:hint="eastAsia"/>
                <w:b/>
                <w:color w:val="000000" w:themeColor="text1"/>
                <w:sz w:val="20"/>
                <w:szCs w:val="20"/>
              </w:rPr>
              <w:t>职务</w:t>
            </w:r>
          </w:p>
        </w:tc>
        <w:tc>
          <w:tcPr>
            <w:tcW w:w="3478" w:type="dxa"/>
            <w:gridSpan w:val="3"/>
            <w:vAlign w:val="center"/>
          </w:tcPr>
          <w:p>
            <w:pPr>
              <w:jc w:val="center"/>
              <w:rPr>
                <w:b/>
                <w:color w:val="000000" w:themeColor="text1"/>
                <w:sz w:val="20"/>
                <w:szCs w:val="20"/>
              </w:rPr>
            </w:pPr>
            <w:r>
              <w:rPr>
                <w:rFonts w:hint="eastAsia"/>
                <w:b/>
                <w:color w:val="000000" w:themeColor="text1"/>
                <w:sz w:val="20"/>
                <w:szCs w:val="20"/>
              </w:rPr>
              <w:t>审核员注册号</w:t>
            </w:r>
          </w:p>
        </w:tc>
        <w:tc>
          <w:tcPr>
            <w:tcW w:w="2333" w:type="dxa"/>
            <w:gridSpan w:val="2"/>
            <w:vAlign w:val="center"/>
          </w:tcPr>
          <w:p>
            <w:pPr>
              <w:jc w:val="center"/>
              <w:rPr>
                <w:b/>
                <w:color w:val="000000" w:themeColor="text1"/>
                <w:sz w:val="20"/>
                <w:szCs w:val="20"/>
              </w:rPr>
            </w:pPr>
            <w:r>
              <w:rPr>
                <w:rFonts w:hint="eastAsia"/>
                <w:b/>
                <w:color w:val="000000" w:themeColor="text1"/>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李京田</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rFonts w:hint="default" w:eastAsia="宋体"/>
                <w:b/>
                <w:color w:val="000000" w:themeColor="text1"/>
                <w:sz w:val="20"/>
                <w:szCs w:val="20"/>
                <w:lang w:val="en-US" w:eastAsia="zh-CN"/>
              </w:rPr>
            </w:pPr>
            <w:r>
              <w:rPr>
                <w:b/>
                <w:color w:val="000000" w:themeColor="text1"/>
                <w:sz w:val="20"/>
                <w:szCs w:val="20"/>
              </w:rPr>
              <w:t>审核员</w:t>
            </w:r>
          </w:p>
        </w:tc>
        <w:tc>
          <w:tcPr>
            <w:tcW w:w="2333" w:type="dxa"/>
            <w:gridSpan w:val="2"/>
            <w:vAlign w:val="center"/>
          </w:tcPr>
          <w:p>
            <w:pPr>
              <w:spacing w:line="240" w:lineRule="exact"/>
              <w:jc w:val="center"/>
              <w:rPr>
                <w:rFonts w:hint="eastAsia" w:eastAsia="宋体"/>
                <w:b/>
                <w:color w:val="000000" w:themeColor="text1"/>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陈俊</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rFonts w:hint="eastAsia"/>
                <w:sz w:val="18"/>
                <w:szCs w:val="18"/>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22.03.02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eastAsia="宋体" w:cs="宋体"/>
                <w:color w:val="000000" w:themeColor="text1"/>
                <w:kern w:val="0"/>
                <w:sz w:val="20"/>
                <w:szCs w:val="20"/>
              </w:rPr>
              <w:t>█</w:t>
            </w:r>
            <w:r>
              <w:rPr>
                <w:rFonts w:ascii="宋体" w:cs="宋体" w:hAnsiTheme="minorHAnsi"/>
                <w:color w:val="000000" w:themeColor="text1"/>
                <w:kern w:val="0"/>
                <w:sz w:val="20"/>
                <w:szCs w:val="20"/>
              </w:rPr>
              <w:t>QMS/</w:t>
            </w:r>
            <w:r>
              <w:rPr>
                <w:rFonts w:hint="eastAsia" w:ascii="宋体" w:hAnsi="宋体" w:eastAsia="宋体" w:cs="宋体"/>
                <w:color w:val="000000" w:themeColor="text1"/>
                <w:kern w:val="0"/>
                <w:sz w:val="20"/>
                <w:szCs w:val="20"/>
              </w:rPr>
              <w:sym w:font="Wingdings" w:char="00A8"/>
            </w:r>
            <w:r>
              <w:rPr>
                <w:rFonts w:ascii="宋体" w:cs="宋体" w:hAnsiTheme="minorHAnsi"/>
                <w:color w:val="000000" w:themeColor="text1"/>
                <w:kern w:val="0"/>
                <w:sz w:val="20"/>
                <w:szCs w:val="20"/>
              </w:rPr>
              <w:t>EMS/</w:t>
            </w:r>
            <w:r>
              <w:rPr>
                <w:rFonts w:hint="eastAsia" w:ascii="宋体" w:hAnsi="宋体" w:eastAsia="宋体" w:cs="宋体"/>
                <w:color w:val="000000" w:themeColor="text1"/>
                <w:kern w:val="0"/>
                <w:sz w:val="20"/>
                <w:szCs w:val="20"/>
              </w:rPr>
              <w:sym w:font="Wingdings" w:char="00A8"/>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pStyle w:val="11"/>
        <w:ind w:left="-142" w:firstLine="0" w:firstLineChars="0"/>
        <w:rPr>
          <w:rFonts w:ascii="宋体" w:hAnsi="宋体"/>
          <w:b/>
          <w:color w:val="000000" w:themeColor="text1"/>
          <w:sz w:val="20"/>
          <w:szCs w:val="20"/>
        </w:rPr>
      </w:pPr>
      <w:r>
        <w:rPr>
          <w:rFonts w:hint="eastAsia" w:ascii="宋体" w:hAnsi="宋体" w:eastAsia="宋体" w:cs="宋体"/>
          <w:b/>
          <w:color w:val="000000" w:themeColor="text1"/>
          <w:spacing w:val="-10"/>
          <w:sz w:val="20"/>
          <w:szCs w:val="20"/>
          <w:lang w:val="de-DE"/>
        </w:rPr>
        <w:t>█</w:t>
      </w:r>
      <w:r>
        <w:rPr>
          <w:rFonts w:hint="eastAsia" w:ascii="宋体" w:hAnsi="宋体"/>
          <w:b/>
          <w:color w:val="000000" w:themeColor="text1"/>
          <w:sz w:val="20"/>
          <w:szCs w:val="20"/>
          <w:lang w:val="de-DE"/>
        </w:rPr>
        <w:t xml:space="preserve">ISO9001:2015    </w:t>
      </w:r>
      <w:r>
        <w:rPr>
          <w:rFonts w:hint="eastAsia" w:ascii="宋体" w:hAnsi="宋体" w:eastAsia="宋体" w:cs="宋体"/>
          <w:b/>
          <w:color w:val="000000" w:themeColor="text1"/>
          <w:spacing w:val="-10"/>
          <w:sz w:val="20"/>
          <w:szCs w:val="20"/>
          <w:lang w:val="de-DE"/>
        </w:rPr>
        <w:sym w:font="Wingdings" w:char="00A8"/>
      </w:r>
      <w:r>
        <w:rPr>
          <w:rFonts w:hint="eastAsia" w:ascii="宋体" w:hAnsi="宋体"/>
          <w:b/>
          <w:color w:val="000000" w:themeColor="text1"/>
          <w:spacing w:val="-10"/>
          <w:sz w:val="20"/>
          <w:szCs w:val="20"/>
          <w:lang w:val="de-DE"/>
        </w:rPr>
        <w:t xml:space="preserve">ISO14001:2015       </w:t>
      </w:r>
      <w:r>
        <w:rPr>
          <w:rFonts w:hint="eastAsia" w:ascii="宋体" w:hAnsi="宋体" w:eastAsia="宋体" w:cs="宋体"/>
          <w:b/>
          <w:color w:val="000000" w:themeColor="text1"/>
          <w:spacing w:val="-10"/>
          <w:sz w:val="20"/>
          <w:szCs w:val="20"/>
          <w:lang w:val="de-DE"/>
        </w:rPr>
        <w:sym w:font="Wingdings" w:char="00A8"/>
      </w:r>
      <w:r>
        <w:rPr>
          <w:rFonts w:hint="eastAsia" w:ascii="宋体" w:hAnsi="宋体"/>
          <w:b/>
          <w:color w:val="000000" w:themeColor="text1"/>
          <w:spacing w:val="-10"/>
          <w:sz w:val="20"/>
          <w:szCs w:val="20"/>
          <w:lang w:val="de-DE"/>
        </w:rPr>
        <w:t>GB/T</w:t>
      </w:r>
      <w:r>
        <w:rPr>
          <w:rFonts w:hint="eastAsia" w:ascii="宋体" w:hAnsi="宋体"/>
          <w:b/>
          <w:color w:val="000000" w:themeColor="text1"/>
          <w:spacing w:val="-10"/>
          <w:sz w:val="20"/>
          <w:szCs w:val="20"/>
          <w:lang w:val="en-US" w:eastAsia="zh-CN"/>
        </w:rPr>
        <w:t>45</w:t>
      </w:r>
      <w:r>
        <w:rPr>
          <w:rFonts w:hint="eastAsia" w:ascii="宋体" w:hAnsi="宋体"/>
          <w:b/>
          <w:color w:val="000000" w:themeColor="text1"/>
          <w:spacing w:val="-10"/>
          <w:sz w:val="20"/>
          <w:szCs w:val="20"/>
          <w:lang w:val="de-DE"/>
        </w:rPr>
        <w:t>001-20</w:t>
      </w:r>
      <w:r>
        <w:rPr>
          <w:rFonts w:hint="eastAsia" w:ascii="宋体" w:hAnsi="宋体"/>
          <w:b/>
          <w:color w:val="000000" w:themeColor="text1"/>
          <w:spacing w:val="-10"/>
          <w:sz w:val="20"/>
          <w:szCs w:val="20"/>
          <w:lang w:val="en-US" w:eastAsia="zh-CN"/>
        </w:rPr>
        <w:t>20</w:t>
      </w:r>
      <w:r>
        <w:rPr>
          <w:rFonts w:hint="eastAsia" w:ascii="宋体" w:hAnsi="宋体"/>
          <w:b/>
          <w:color w:val="000000" w:themeColor="text1"/>
          <w:spacing w:val="-10"/>
          <w:sz w:val="20"/>
          <w:szCs w:val="20"/>
          <w:lang w:val="de-DE"/>
        </w:rPr>
        <w:t xml:space="preserve">           </w:t>
      </w:r>
      <w:r>
        <w:rPr>
          <w:rFonts w:hint="eastAsia" w:ascii="宋体" w:hAnsi="宋体" w:eastAsia="宋体" w:cs="宋体"/>
          <w:b/>
          <w:color w:val="000000" w:themeColor="text1"/>
          <w:spacing w:val="-10"/>
          <w:sz w:val="20"/>
          <w:szCs w:val="20"/>
          <w:lang w:val="de-DE"/>
        </w:rPr>
        <w:t>█</w:t>
      </w:r>
      <w:r>
        <w:rPr>
          <w:rFonts w:hint="eastAsia" w:ascii="宋体" w:hAnsi="宋体"/>
          <w:b/>
          <w:color w:val="000000" w:themeColor="text1"/>
          <w:sz w:val="20"/>
          <w:szCs w:val="20"/>
        </w:rPr>
        <w:t>受审核方管理体系文件</w:t>
      </w:r>
    </w:p>
    <w:p>
      <w:pPr>
        <w:pStyle w:val="11"/>
        <w:ind w:left="-142" w:firstLine="0" w:firstLineChars="0"/>
        <w:rPr>
          <w:rFonts w:ascii="宋体" w:hAnsi="宋体"/>
          <w:b/>
          <w:color w:val="000000" w:themeColor="text1"/>
          <w:sz w:val="26"/>
          <w:szCs w:val="26"/>
        </w:rPr>
      </w:pPr>
      <w:r>
        <w:rPr>
          <w:rFonts w:hint="eastAsia" w:ascii="宋体" w:hAnsi="宋体"/>
          <w:b/>
          <w:color w:val="000000" w:themeColor="text1"/>
          <w:spacing w:val="-10"/>
          <w:sz w:val="20"/>
          <w:szCs w:val="20"/>
          <w:lang w:val="de-DE"/>
        </w:rPr>
        <w:t xml:space="preserve"> </w:t>
      </w:r>
      <w:r>
        <w:rPr>
          <w:rFonts w:hint="eastAsia" w:ascii="宋体" w:hAnsi="宋体" w:eastAsia="宋体" w:cs="宋体"/>
          <w:b/>
          <w:color w:val="000000" w:themeColor="text1"/>
          <w:spacing w:val="-10"/>
          <w:sz w:val="20"/>
          <w:szCs w:val="20"/>
          <w:lang w:val="de-DE"/>
        </w:rPr>
        <w:t>█</w:t>
      </w:r>
      <w:r>
        <w:rPr>
          <w:rFonts w:hint="eastAsia" w:ascii="宋体" w:hAnsi="宋体"/>
          <w:b/>
          <w:color w:val="000000" w:themeColor="text1"/>
          <w:sz w:val="20"/>
          <w:szCs w:val="20"/>
        </w:rPr>
        <w:t>适用的法律、法规、标准。</w:t>
      </w:r>
      <w:r>
        <w:rPr>
          <w:rFonts w:hint="eastAsia" w:ascii="宋体" w:hAnsi="宋体"/>
          <w:b/>
          <w:color w:val="000000" w:themeColor="text1"/>
          <w:spacing w:val="-10"/>
          <w:sz w:val="20"/>
          <w:szCs w:val="20"/>
          <w:lang w:val="de-DE"/>
        </w:rPr>
        <w:t xml:space="preserve"> </w:t>
      </w:r>
      <w:r>
        <w:rPr>
          <w:rFonts w:hint="eastAsia" w:ascii="宋体" w:hAnsi="宋体" w:eastAsia="宋体" w:cs="宋体"/>
          <w:b/>
          <w:color w:val="000000" w:themeColor="text1"/>
          <w:spacing w:val="-10"/>
          <w:sz w:val="20"/>
          <w:szCs w:val="20"/>
          <w:lang w:val="de-DE"/>
        </w:rPr>
        <w:t>█</w:t>
      </w:r>
      <w:r>
        <w:rPr>
          <w:rFonts w:hint="eastAsia" w:ascii="宋体" w:hAnsi="宋体"/>
          <w:b/>
          <w:color w:val="000000" w:themeColor="text1"/>
          <w:spacing w:val="-10"/>
          <w:sz w:val="20"/>
          <w:szCs w:val="20"/>
        </w:rPr>
        <w:t>合同要求</w:t>
      </w:r>
      <w:r>
        <w:rPr>
          <w:rFonts w:hint="eastAsia" w:ascii="宋体" w:hAnsi="宋体"/>
          <w:b/>
          <w:color w:val="000000" w:themeColor="text1"/>
          <w:spacing w:val="-10"/>
          <w:sz w:val="22"/>
          <w:szCs w:val="22"/>
        </w:rPr>
        <w:t xml:space="preserve"> </w:t>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襄阳高歌汽车部件有限公司</w:t>
            </w:r>
          </w:p>
        </w:tc>
        <w:tc>
          <w:tcPr>
            <w:tcW w:w="1134" w:type="dxa"/>
            <w:gridSpan w:val="3"/>
            <w:vAlign w:val="top"/>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color w:val="000000"/>
                <w:szCs w:val="21"/>
                <w:lang w:val="de-DE"/>
              </w:rPr>
              <w:t>注 册 地 址</w:t>
            </w:r>
          </w:p>
        </w:tc>
        <w:tc>
          <w:tcPr>
            <w:tcW w:w="6120" w:type="dxa"/>
            <w:gridSpan w:val="12"/>
            <w:vAlign w:val="top"/>
          </w:tcPr>
          <w:p>
            <w:pPr>
              <w:rPr>
                <w:rFonts w:ascii="宋体" w:hAnsi="宋体"/>
                <w:b/>
                <w:color w:val="000000" w:themeColor="text1"/>
                <w:sz w:val="20"/>
                <w:szCs w:val="20"/>
              </w:rPr>
            </w:pPr>
            <w:r>
              <w:t>襄阳市襄城区檀溪街道檀溪路198-1号国际商都1幢B1区2层2091室</w:t>
            </w:r>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vAlign w:val="top"/>
          </w:tcPr>
          <w:p>
            <w:pPr>
              <w:spacing w:line="320" w:lineRule="exact"/>
              <w:rPr>
                <w:rFonts w:ascii="宋体" w:hAnsi="宋体" w:eastAsia="宋体" w:cs="Times New Roman"/>
                <w:b/>
                <w:color w:val="000000" w:themeColor="text1"/>
                <w:spacing w:val="-20"/>
                <w:kern w:val="2"/>
                <w:sz w:val="20"/>
                <w:szCs w:val="20"/>
                <w:lang w:val="en-US" w:eastAsia="zh-CN" w:bidi="ar-SA"/>
              </w:rPr>
            </w:pPr>
            <w:r>
              <w:rPr>
                <w:rFonts w:ascii="宋体" w:hAnsi="宋体"/>
                <w:b/>
                <w:color w:val="000000" w:themeColor="text1"/>
                <w:spacing w:val="-20"/>
                <w:sz w:val="20"/>
                <w:szCs w:val="20"/>
              </w:rPr>
              <w:t>441021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color w:val="000000"/>
                <w:szCs w:val="21"/>
                <w:lang w:val="de-DE"/>
              </w:rPr>
              <w:t>生产经营地址</w:t>
            </w:r>
          </w:p>
        </w:tc>
        <w:tc>
          <w:tcPr>
            <w:tcW w:w="6120" w:type="dxa"/>
            <w:gridSpan w:val="12"/>
            <w:vAlign w:val="top"/>
          </w:tcPr>
          <w:p>
            <w:pPr>
              <w:rPr>
                <w:rFonts w:ascii="宋体" w:hAnsi="宋体"/>
                <w:b/>
                <w:color w:val="000000" w:themeColor="text1"/>
                <w:sz w:val="20"/>
                <w:szCs w:val="20"/>
              </w:rPr>
            </w:pPr>
            <w:r>
              <w:t>襄阳市高新区天籁大道23号</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vAlign w:val="top"/>
          </w:tcPr>
          <w:p>
            <w:pPr>
              <w:spacing w:line="320" w:lineRule="exact"/>
              <w:rPr>
                <w:rFonts w:ascii="宋体" w:hAnsi="宋体" w:eastAsia="宋体" w:cs="Times New Roman"/>
                <w:b/>
                <w:color w:val="000000" w:themeColor="text1"/>
                <w:kern w:val="2"/>
                <w:sz w:val="20"/>
                <w:szCs w:val="20"/>
                <w:lang w:val="en-US" w:eastAsia="zh-CN" w:bidi="ar-SA"/>
              </w:rPr>
            </w:pPr>
            <w:r>
              <w:rPr>
                <w:rFonts w:ascii="宋体" w:hAnsi="宋体"/>
                <w:b/>
                <w:color w:val="000000" w:themeColor="text1"/>
                <w:sz w:val="20"/>
                <w:szCs w:val="20"/>
              </w:rPr>
              <w:t>441021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关浩</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0710-2812709</w:t>
            </w:r>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关浩</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r>
              <w:rPr>
                <w:rFonts w:ascii="宋体" w:hAnsi="宋体"/>
                <w:b/>
                <w:color w:val="000000" w:themeColor="text1"/>
                <w:sz w:val="20"/>
                <w:szCs w:val="20"/>
              </w:rPr>
              <w:t>关浩</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hint="eastAsia" w:ascii="宋体" w:hAnsi="宋体" w:eastAsia="宋体"/>
                <w:b/>
                <w:color w:val="000000" w:themeColor="text1"/>
                <w:sz w:val="20"/>
                <w:szCs w:val="20"/>
                <w:lang w:eastAsia="zh-CN"/>
              </w:rPr>
            </w:pPr>
            <w:r>
              <w:rPr>
                <w:rFonts w:ascii="宋体" w:hAnsi="宋体"/>
                <w:b/>
                <w:color w:val="000000" w:themeColor="text1"/>
                <w:sz w:val="20"/>
                <w:szCs w:val="20"/>
              </w:rPr>
              <w:t>王明均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0" w:lineRule="atLeast"/>
              <w:jc w:val="left"/>
              <w:rPr>
                <w:rFonts w:hint="eastAsia" w:ascii="宋体" w:hAnsi="宋体" w:cs="宋体"/>
                <w:kern w:val="0"/>
                <w:szCs w:val="21"/>
                <w:lang w:bidi="ar"/>
              </w:rPr>
            </w:pPr>
          </w:p>
          <w:p>
            <w:pPr>
              <w:spacing w:line="0" w:lineRule="atLeast"/>
              <w:jc w:val="left"/>
              <w:rPr>
                <w:b/>
                <w:bCs/>
                <w:color w:val="auto"/>
                <w:szCs w:val="21"/>
              </w:rPr>
            </w:pPr>
            <w:r>
              <w:rPr>
                <w:rFonts w:hint="eastAsia"/>
                <w:b/>
                <w:bCs/>
                <w:color w:val="auto"/>
                <w:szCs w:val="21"/>
              </w:rPr>
              <w:t>QMS:</w:t>
            </w:r>
            <w:bookmarkStart w:id="1" w:name="审核范围"/>
            <w:r>
              <w:rPr>
                <w:rFonts w:ascii="宋体" w:hAnsi="宋体"/>
                <w:b/>
                <w:color w:val="000000" w:themeColor="text1"/>
                <w:sz w:val="20"/>
                <w:szCs w:val="20"/>
              </w:rPr>
              <w:t>汽车零部件（电机保护罩、发电机支架）的生产及销售</w:t>
            </w:r>
            <w:bookmarkEnd w:id="1"/>
          </w:p>
          <w:p>
            <w:pPr>
              <w:pStyle w:val="2"/>
              <w:rPr>
                <w:rFonts w:hint="eastAsia" w:ascii="宋体" w:hAnsi="宋体" w:cs="楷体"/>
                <w:color w:val="000000"/>
                <w:szCs w:val="21"/>
                <w:shd w:val="clear" w:color="auto" w:fill="FFFFFF"/>
              </w:rPr>
            </w:pPr>
          </w:p>
          <w:p>
            <w:pPr>
              <w:spacing w:line="320" w:lineRule="exact"/>
              <w:rPr>
                <w:rFonts w:ascii="宋体" w:hAnsi="宋体"/>
                <w:b/>
                <w:color w:val="000000" w:themeColor="text1"/>
                <w:sz w:val="20"/>
                <w:szCs w:val="20"/>
                <w:u w:val="singl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rPr>
                <w:rFonts w:ascii="宋体" w:hAnsi="宋体"/>
                <w:b/>
                <w:color w:val="000000" w:themeColor="text1"/>
                <w:sz w:val="20"/>
                <w:szCs w:val="20"/>
              </w:rPr>
            </w:pPr>
            <w:bookmarkStart w:id="2" w:name="专业代码"/>
            <w:r>
              <w:rPr>
                <w:rFonts w:ascii="宋体" w:hAnsi="宋体"/>
                <w:b/>
                <w:color w:val="000000" w:themeColor="text1"/>
                <w:sz w:val="20"/>
                <w:szCs w:val="20"/>
              </w:rPr>
              <w:t>22.03.02</w:t>
            </w:r>
            <w:bookmarkEnd w:id="2"/>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eastAsia="宋体" w:cs="宋体"/>
                <w:b/>
                <w:color w:val="000000" w:themeColor="text1"/>
                <w:sz w:val="20"/>
                <w:szCs w:val="20"/>
              </w:rPr>
              <w:sym w:font="Wingdings" w:char="00A8"/>
            </w:r>
            <w:r>
              <w:rPr>
                <w:rFonts w:hint="eastAsia" w:ascii="宋体" w:hAnsi="宋体"/>
                <w:b/>
                <w:color w:val="000000" w:themeColor="text1"/>
                <w:sz w:val="20"/>
                <w:szCs w:val="20"/>
              </w:rPr>
              <w:t xml:space="preserve">是   </w:t>
            </w:r>
            <w:r>
              <w:rPr>
                <w:rFonts w:hint="eastAsia" w:ascii="宋体" w:hAnsi="宋体" w:eastAsia="宋体" w:cs="宋体"/>
                <w:b/>
                <w:color w:val="000000" w:themeColor="text1"/>
                <w:sz w:val="20"/>
                <w:szCs w:val="20"/>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hint="default" w:ascii="宋体" w:hAnsi="宋体" w:eastAsia="宋体"/>
                <w:b/>
                <w:color w:val="000000" w:themeColor="text1"/>
                <w:sz w:val="20"/>
                <w:szCs w:val="20"/>
                <w:lang w:val="en-US" w:eastAsia="zh-CN"/>
              </w:rPr>
            </w:pPr>
            <w:bookmarkStart w:id="3" w:name="体系运行时间"/>
            <w:r>
              <w:rPr>
                <w:rFonts w:ascii="宋体" w:hAnsi="宋体"/>
                <w:b/>
                <w:color w:val="000000" w:themeColor="text1"/>
                <w:sz w:val="20"/>
                <w:szCs w:val="20"/>
              </w:rPr>
              <w:t>2020-06-10 0:00:00</w:t>
            </w:r>
            <w:bookmarkEnd w:id="3"/>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b/>
                <w:color w:val="000000" w:themeColor="text1"/>
                <w:sz w:val="20"/>
                <w:szCs w:val="20"/>
                <w:lang w:val="en-US" w:eastAsia="zh-CN"/>
              </w:rPr>
            </w:pPr>
          </w:p>
          <w:p>
            <w:pPr>
              <w:jc w:val="center"/>
              <w:rPr>
                <w:rFonts w:ascii="宋体" w:hAnsi="宋体"/>
                <w:b/>
                <w:color w:val="000000" w:themeColor="text1"/>
                <w:sz w:val="20"/>
                <w:szCs w:val="20"/>
              </w:rPr>
            </w:pPr>
            <w:r>
              <w:rPr>
                <w:rFonts w:hint="eastAsia" w:ascii="宋体" w:hAnsi="宋体"/>
                <w:b/>
                <w:color w:val="000000" w:themeColor="text1"/>
                <w:sz w:val="20"/>
                <w:szCs w:val="20"/>
                <w:lang w:val="en-US" w:eastAsia="zh-CN"/>
              </w:rPr>
              <w:t>办公室</w:t>
            </w:r>
          </w:p>
        </w:tc>
        <w:tc>
          <w:tcPr>
            <w:tcW w:w="6804" w:type="dxa"/>
            <w:vAlign w:val="top"/>
          </w:tcPr>
          <w:p>
            <w:pPr>
              <w:jc w:val="lef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负责内审的实施；负责人力资源管理；组织知识管理；组织内外部沟通；负责与顾客有关的过程及顾客满意度调查、负责外部供方控制、负责基础设施及工作环境管理；等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b/>
                <w:color w:val="000000" w:themeColor="text1"/>
                <w:sz w:val="20"/>
                <w:szCs w:val="20"/>
                <w:lang w:val="en-US" w:eastAsia="zh-CN"/>
              </w:rPr>
            </w:pPr>
            <w:r>
              <w:rPr>
                <w:rFonts w:hint="eastAsia" w:ascii="宋体" w:hAnsi="宋体"/>
                <w:b/>
                <w:color w:val="000000" w:themeColor="text1"/>
                <w:sz w:val="20"/>
                <w:szCs w:val="20"/>
                <w:lang w:val="en-US" w:eastAsia="zh-CN"/>
              </w:rPr>
              <w:t>品质部</w:t>
            </w:r>
          </w:p>
        </w:tc>
        <w:tc>
          <w:tcPr>
            <w:tcW w:w="6804" w:type="dxa"/>
            <w:vAlign w:val="top"/>
          </w:tcPr>
          <w:p>
            <w:pPr>
              <w:jc w:val="left"/>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负责监视测量设备管理、原材料检验、过程检验、成品的放行控制等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b/>
                <w:color w:val="000000" w:themeColor="text1"/>
                <w:sz w:val="20"/>
                <w:szCs w:val="20"/>
                <w:lang w:val="en-US" w:eastAsia="zh-CN"/>
              </w:rPr>
            </w:pPr>
            <w:r>
              <w:rPr>
                <w:rFonts w:hint="eastAsia" w:ascii="宋体" w:hAnsi="宋体"/>
                <w:b/>
                <w:color w:val="000000" w:themeColor="text1"/>
                <w:sz w:val="20"/>
                <w:szCs w:val="20"/>
                <w:lang w:val="en-US" w:eastAsia="zh-CN"/>
              </w:rPr>
              <w:t>业务部</w:t>
            </w:r>
          </w:p>
        </w:tc>
        <w:tc>
          <w:tcPr>
            <w:tcW w:w="6804" w:type="dxa"/>
            <w:vAlign w:val="top"/>
          </w:tcPr>
          <w:p>
            <w:pPr>
              <w:jc w:val="left"/>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负责采购、销售过程的控制，负责顾客满意度调查、负责供方评审、负责与顾客的沟通等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val="en-US" w:eastAsia="zh-CN"/>
              </w:rPr>
              <w:t>生产</w:t>
            </w:r>
            <w:r>
              <w:rPr>
                <w:rFonts w:hint="eastAsia" w:ascii="宋体" w:hAnsi="宋体"/>
                <w:b/>
                <w:color w:val="000000" w:themeColor="text1"/>
                <w:sz w:val="20"/>
                <w:szCs w:val="20"/>
                <w:lang w:eastAsia="zh-CN"/>
              </w:rPr>
              <w:t>部</w:t>
            </w:r>
          </w:p>
        </w:tc>
        <w:tc>
          <w:tcPr>
            <w:tcW w:w="6804" w:type="dxa"/>
          </w:tcPr>
          <w:p>
            <w:pPr>
              <w:jc w:val="lef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产品实现的策划及设计开发、生产过程控制、、监视测量管理体系、放行控制；不符合及纠正措施控制等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ind w:firstLine="1205" w:firstLineChars="600"/>
              <w:jc w:val="left"/>
              <w:rPr>
                <w:rFonts w:hint="eastAsia" w:ascii="宋体" w:hAnsi="宋体"/>
                <w:b/>
                <w:color w:val="000000" w:themeColor="text1"/>
                <w:sz w:val="20"/>
                <w:szCs w:val="20"/>
                <w:lang w:val="en-US" w:eastAsia="zh-CN"/>
              </w:rPr>
            </w:pPr>
            <w:r>
              <w:rPr>
                <w:rFonts w:hint="eastAsia" w:ascii="宋体" w:hAnsi="宋体"/>
                <w:b/>
                <w:color w:val="000000" w:themeColor="text1"/>
                <w:sz w:val="20"/>
                <w:szCs w:val="20"/>
                <w:lang w:val="en-US" w:eastAsia="zh-CN"/>
              </w:rPr>
              <w:t>管理层</w:t>
            </w:r>
          </w:p>
        </w:tc>
        <w:tc>
          <w:tcPr>
            <w:tcW w:w="6804" w:type="dxa"/>
            <w:vAlign w:val="top"/>
          </w:tcPr>
          <w:p>
            <w:pPr>
              <w:jc w:val="lef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管理体系建立；组织应环境、相关方及风险机遇的识别及管理；方针、目标的制定；管理承诺；；职责权限的划分；管理评审等</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37" w:leftChars="-337" w:hanging="571" w:hangingChars="271"/>
        <w:rPr>
          <w:b/>
          <w:color w:val="000000" w:themeColor="text1"/>
          <w:szCs w:val="21"/>
          <w:u w:val="single"/>
        </w:rPr>
      </w:pPr>
    </w:p>
    <w:p>
      <w:pPr>
        <w:spacing w:line="360" w:lineRule="auto"/>
        <w:ind w:left="-137" w:leftChars="-337" w:hanging="571" w:hangingChars="271"/>
        <w:rPr>
          <w:b/>
          <w:color w:val="000000" w:themeColor="text1"/>
          <w:szCs w:val="21"/>
        </w:rPr>
      </w:pPr>
      <w:r>
        <w:rPr>
          <w:rFonts w:hint="eastAsia"/>
          <w:b/>
          <w:color w:val="000000" w:themeColor="text1"/>
          <w:szCs w:val="21"/>
        </w:rPr>
        <w:t>4. 本次审核覆盖时期：</w:t>
      </w:r>
    </w:p>
    <w:p>
      <w:pPr>
        <w:spacing w:line="360" w:lineRule="auto"/>
        <w:ind w:left="-191" w:leftChars="-337" w:hanging="517" w:hangingChars="271"/>
        <w:rPr>
          <w:b/>
          <w:color w:val="000000" w:themeColor="text1"/>
          <w:spacing w:val="-10"/>
          <w:szCs w:val="21"/>
        </w:rPr>
      </w:pPr>
      <w:r>
        <w:rPr>
          <w:rFonts w:hint="eastAsia" w:ascii="宋体" w:hAnsi="宋体" w:eastAsia="宋体" w:cs="宋体"/>
          <w:b/>
          <w:color w:val="000000" w:themeColor="text1"/>
          <w:spacing w:val="-10"/>
          <w:szCs w:val="21"/>
        </w:rPr>
        <w:t>█</w:t>
      </w:r>
      <w:r>
        <w:rPr>
          <w:rFonts w:hint="eastAsia"/>
          <w:b/>
          <w:color w:val="000000" w:themeColor="text1"/>
          <w:spacing w:val="-10"/>
          <w:szCs w:val="21"/>
        </w:rPr>
        <w:t>体系运行时间</w:t>
      </w:r>
      <w:r>
        <w:rPr>
          <w:rFonts w:hint="eastAsia"/>
          <w:b/>
          <w:color w:val="000000" w:themeColor="text1"/>
          <w:spacing w:val="-10"/>
          <w:szCs w:val="21"/>
          <w:u w:val="single"/>
        </w:rPr>
        <w:t xml:space="preserve">  </w:t>
      </w:r>
      <w:r>
        <w:rPr>
          <w:rFonts w:hint="eastAsia"/>
          <w:b/>
          <w:color w:val="auto"/>
          <w:spacing w:val="-10"/>
          <w:szCs w:val="21"/>
          <w:u w:val="single"/>
        </w:rPr>
        <w:t xml:space="preserve"> </w:t>
      </w:r>
      <w:r>
        <w:rPr>
          <w:rFonts w:hint="eastAsia"/>
          <w:b/>
          <w:color w:val="auto"/>
          <w:spacing w:val="-10"/>
          <w:szCs w:val="21"/>
          <w:u w:val="single"/>
          <w:lang w:val="en-US" w:eastAsia="zh-CN"/>
        </w:rPr>
        <w:t>2020</w:t>
      </w:r>
      <w:r>
        <w:rPr>
          <w:rFonts w:hint="eastAsia"/>
          <w:b/>
          <w:color w:val="auto"/>
          <w:spacing w:val="-10"/>
          <w:szCs w:val="21"/>
          <w:u w:val="single"/>
        </w:rPr>
        <w:t xml:space="preserve"> </w:t>
      </w:r>
      <w:r>
        <w:rPr>
          <w:rFonts w:hint="eastAsia"/>
          <w:b/>
          <w:color w:val="auto"/>
          <w:spacing w:val="-10"/>
          <w:szCs w:val="21"/>
        </w:rPr>
        <w:t>年</w:t>
      </w:r>
      <w:r>
        <w:rPr>
          <w:rFonts w:hint="eastAsia"/>
          <w:b/>
          <w:color w:val="auto"/>
          <w:spacing w:val="-10"/>
          <w:szCs w:val="21"/>
          <w:u w:val="single"/>
        </w:rPr>
        <w:t xml:space="preserve"> </w:t>
      </w:r>
      <w:r>
        <w:rPr>
          <w:rFonts w:hint="eastAsia"/>
          <w:b/>
          <w:color w:val="auto"/>
          <w:spacing w:val="-10"/>
          <w:szCs w:val="21"/>
          <w:u w:val="single"/>
          <w:lang w:val="en-US" w:eastAsia="zh-CN"/>
        </w:rPr>
        <w:t>6</w:t>
      </w:r>
      <w:r>
        <w:rPr>
          <w:rFonts w:hint="eastAsia"/>
          <w:b/>
          <w:color w:val="auto"/>
          <w:spacing w:val="-10"/>
          <w:szCs w:val="21"/>
          <w:u w:val="single"/>
        </w:rPr>
        <w:t xml:space="preserve">  </w:t>
      </w:r>
      <w:r>
        <w:rPr>
          <w:rFonts w:hint="eastAsia"/>
          <w:b/>
          <w:color w:val="auto"/>
          <w:spacing w:val="-10"/>
          <w:szCs w:val="21"/>
        </w:rPr>
        <w:t>月</w:t>
      </w:r>
      <w:bookmarkStart w:id="4" w:name="OLE_LINK1"/>
      <w:r>
        <w:rPr>
          <w:rFonts w:hint="eastAsia"/>
          <w:b/>
          <w:color w:val="auto"/>
          <w:spacing w:val="-10"/>
          <w:szCs w:val="21"/>
          <w:u w:val="single"/>
        </w:rPr>
        <w:t xml:space="preserve">  </w:t>
      </w:r>
      <w:r>
        <w:rPr>
          <w:rFonts w:hint="eastAsia"/>
          <w:b/>
          <w:color w:val="auto"/>
          <w:spacing w:val="-10"/>
          <w:szCs w:val="21"/>
          <w:u w:val="single"/>
          <w:lang w:val="en-US" w:eastAsia="zh-CN"/>
        </w:rPr>
        <w:t>10</w:t>
      </w:r>
      <w:r>
        <w:rPr>
          <w:rFonts w:hint="eastAsia"/>
          <w:b/>
          <w:color w:val="000000" w:themeColor="text1"/>
          <w:spacing w:val="-10"/>
          <w:szCs w:val="21"/>
        </w:rPr>
        <w:t>日</w:t>
      </w:r>
      <w:bookmarkEnd w:id="4"/>
      <w:r>
        <w:rPr>
          <w:rFonts w:hint="eastAsia"/>
          <w:b/>
          <w:color w:val="000000" w:themeColor="text1"/>
          <w:spacing w:val="-10"/>
          <w:szCs w:val="21"/>
        </w:rPr>
        <w:t>至</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2021</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3</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27</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5. 完成情况说明:</w:t>
      </w:r>
    </w:p>
    <w:p>
      <w:pPr>
        <w:spacing w:line="360" w:lineRule="auto"/>
        <w:ind w:left="-191" w:leftChars="-337" w:hanging="517" w:hangingChars="271"/>
        <w:rPr>
          <w:b/>
          <w:color w:val="000000" w:themeColor="text1"/>
          <w:spacing w:val="-10"/>
          <w:szCs w:val="21"/>
        </w:rPr>
      </w:pPr>
      <w:r>
        <w:rPr>
          <w:rFonts w:hint="eastAsia" w:ascii="宋体" w:hAnsi="宋体" w:eastAsia="宋体" w:cs="宋体"/>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rPr>
            </w:pPr>
            <w:r>
              <w:t>1、</w:t>
            </w:r>
            <w:r>
              <w:rPr>
                <w:rFonts w:hint="eastAsia"/>
              </w:rPr>
              <w:t>组织及其环境的识别情况</w:t>
            </w:r>
          </w:p>
          <w:p>
            <w:pPr>
              <w:rPr>
                <w:rFonts w:hint="eastAsia"/>
              </w:rPr>
            </w:pPr>
            <w:r>
              <w:rPr>
                <w:rFonts w:hint="eastAsia"/>
              </w:rPr>
              <w:t>襄阳高歌汽车部件有限公司，2014年08月14日成立，营业期限</w:t>
            </w:r>
            <w:r>
              <w:rPr>
                <w:rFonts w:hint="eastAsia"/>
              </w:rPr>
              <w:tab/>
            </w:r>
            <w:r>
              <w:rPr>
                <w:rFonts w:hint="eastAsia"/>
              </w:rPr>
              <w:t>2014-08-14 - 无限期   法定代表 郑章成</w:t>
            </w:r>
          </w:p>
          <w:p>
            <w:pPr>
              <w:rPr>
                <w:rFonts w:hint="eastAsia"/>
              </w:rPr>
            </w:pPr>
            <w:r>
              <w:rPr>
                <w:rFonts w:hint="eastAsia"/>
              </w:rPr>
              <w:t>经营范围：汽车配件（不含发动机）、摩托车配件的生产、销售；金属材料、塑料原料、工具、刀具的销售。（依法须经批准的项目,经相关部门批准后方可开展经营活动）</w:t>
            </w:r>
          </w:p>
          <w:p>
            <w:pPr>
              <w:jc w:val="both"/>
              <w:rPr>
                <w:rFonts w:hint="eastAsia" w:eastAsia="宋体" w:asciiTheme="minorEastAsia" w:hAnsi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rPr>
              <w:t>认证范围在经营范围内。</w:t>
            </w:r>
            <w:r>
              <w:rPr>
                <w:rFonts w:hint="eastAsia" w:ascii="宋体" w:hAnsi="宋体"/>
                <w:b/>
                <w:bCs/>
              </w:rPr>
              <w:t>不适用条款:</w:t>
            </w:r>
            <w:r>
              <w:rPr>
                <w:rFonts w:hint="eastAsia" w:ascii="宋体" w:hAnsi="宋体"/>
                <w:b/>
                <w:bCs/>
                <w:lang w:val="en-US" w:eastAsia="zh-CN"/>
              </w:rPr>
              <w:t>Q</w:t>
            </w:r>
            <w:r>
              <w:rPr>
                <w:rFonts w:hint="eastAsia" w:ascii="宋体" w:hAnsi="宋体"/>
                <w:b/>
                <w:bCs/>
              </w:rPr>
              <w:t>8.3</w:t>
            </w:r>
            <w:r>
              <w:rPr>
                <w:rFonts w:hint="eastAsia" w:ascii="宋体" w:hAnsi="宋体"/>
                <w:b/>
                <w:bCs/>
                <w:lang w:eastAsia="zh-CN"/>
              </w:rPr>
              <w:t>，</w:t>
            </w:r>
            <w:r>
              <w:rPr>
                <w:rFonts w:hint="eastAsia" w:ascii="宋体" w:hAnsi="宋体"/>
                <w:b/>
                <w:color w:val="000000" w:themeColor="text1"/>
                <w:sz w:val="20"/>
                <w:szCs w:val="20"/>
              </w:rPr>
              <w:t>不适用理由：</w:t>
            </w:r>
            <w:r>
              <w:rPr>
                <w:rFonts w:hint="eastAsia" w:ascii="宋体" w:hAnsi="宋体"/>
                <w:b/>
                <w:color w:val="000000" w:themeColor="text1"/>
                <w:sz w:val="20"/>
                <w:szCs w:val="20"/>
                <w:u w:val="none"/>
              </w:rPr>
              <w:t xml:space="preserve"> </w:t>
            </w:r>
            <w:r>
              <w:rPr>
                <w:rFonts w:hint="eastAsia" w:ascii="宋体" w:hAnsi="宋体"/>
                <w:sz w:val="21"/>
                <w:szCs w:val="21"/>
                <w:lang w:val="en-US" w:eastAsia="zh-CN"/>
              </w:rPr>
              <w:t>因该公司的</w:t>
            </w:r>
            <w:r>
              <w:rPr>
                <w:rFonts w:hint="eastAsia" w:ascii="宋体" w:hAnsi="宋体"/>
                <w:szCs w:val="21"/>
              </w:rPr>
              <w:t xml:space="preserve">汽车零部件（电机保护罩、发电机支架）的生产及销售 </w:t>
            </w:r>
            <w:r>
              <w:rPr>
                <w:rFonts w:hint="eastAsia" w:ascii="宋体" w:hAnsi="宋体"/>
                <w:szCs w:val="21"/>
                <w:lang w:eastAsia="zh-CN"/>
              </w:rPr>
              <w:t>，</w:t>
            </w:r>
            <w:r>
              <w:rPr>
                <w:rFonts w:hint="eastAsia" w:ascii="宋体" w:hAnsi="宋体"/>
                <w:szCs w:val="21"/>
                <w:lang w:val="en-US" w:eastAsia="zh-CN"/>
              </w:rPr>
              <w:t>按照顾客的要求进行，该条款的不适用,</w:t>
            </w:r>
            <w:r>
              <w:rPr>
                <w:rFonts w:hint="eastAsia"/>
              </w:rPr>
              <w:t>不影响组织确保其产品和服务合格的能力和责任，也不会对增强顾客满意产生影响。</w:t>
            </w:r>
          </w:p>
          <w:p>
            <w:pPr>
              <w:jc w:val="both"/>
              <w:rPr>
                <w:rFonts w:hint="eastAsia" w:ascii="宋体"/>
                <w:szCs w:val="21"/>
              </w:rPr>
            </w:pPr>
            <w:r>
              <w:rPr>
                <w:rFonts w:hint="eastAsia" w:asciiTheme="minorEastAsia" w:hAnsiTheme="minorEastAsia" w:eastAsiaTheme="minorEastAsia" w:cstheme="minorEastAsia"/>
                <w:b w:val="0"/>
                <w:bCs w:val="0"/>
                <w:color w:val="auto"/>
                <w:sz w:val="21"/>
                <w:szCs w:val="21"/>
              </w:rPr>
              <w:t>查国家企业信用信息公示系统，企业无异常经营记录、无违法失信记录。</w:t>
            </w:r>
          </w:p>
          <w:p>
            <w:pPr>
              <w:pStyle w:val="2"/>
              <w:rPr>
                <w:rFonts w:hint="default"/>
                <w:lang w:val="en-US"/>
              </w:rPr>
            </w:pPr>
            <w:r>
              <w:rPr>
                <w:rFonts w:hint="eastAsia" w:asciiTheme="minorEastAsia" w:hAnsiTheme="minorEastAsia" w:eastAsiaTheme="minorEastAsia" w:cstheme="minorEastAsia"/>
                <w:b w:val="0"/>
                <w:bCs w:val="0"/>
                <w:sz w:val="21"/>
                <w:szCs w:val="21"/>
              </w:rPr>
              <w:t>对于企业的外包过程也进行了充分识别，公司外包</w:t>
            </w:r>
            <w:r>
              <w:rPr>
                <w:rFonts w:hint="eastAsia" w:asciiTheme="minorEastAsia" w:hAnsiTheme="minorEastAsia" w:eastAsiaTheme="minorEastAsia" w:cstheme="minorEastAsia"/>
                <w:b w:val="0"/>
                <w:bCs w:val="0"/>
                <w:sz w:val="21"/>
                <w:szCs w:val="21"/>
                <w:lang w:eastAsia="zh-CN"/>
              </w:rPr>
              <w:t>过程</w:t>
            </w:r>
            <w:r>
              <w:rPr>
                <w:rFonts w:hint="eastAsia" w:asciiTheme="minorEastAsia" w:hAnsiTheme="minorEastAsia" w:eastAsiaTheme="minorEastAsia" w:cstheme="minorEastAsia"/>
                <w:b w:val="0"/>
                <w:bCs w:val="0"/>
                <w:sz w:val="21"/>
                <w:szCs w:val="21"/>
                <w:lang w:val="en-US" w:eastAsia="zh-CN"/>
              </w:rPr>
              <w:t>为模具加工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rFonts w:hint="eastAsia"/>
              </w:rPr>
            </w:pPr>
            <w:r>
              <w:rPr>
                <w:rFonts w:hint="eastAsia"/>
              </w:rPr>
              <w:t>相关方需求和期望识别情况</w:t>
            </w:r>
          </w:p>
          <w:p>
            <w:pPr>
              <w:rPr>
                <w:rFonts w:hint="eastAsia" w:ascii="Times New Roman" w:hAnsi="Times New Roman" w:cs="Times New Roman"/>
              </w:rPr>
            </w:pPr>
            <w:r>
              <w:rPr>
                <w:rFonts w:hint="eastAsia" w:ascii="Times New Roman" w:hAnsi="Times New Roman" w:cs="Times New Roman"/>
              </w:rPr>
              <w:t>在公司运营过程中充分考虑相关方方面的期望或要求，识别的相关方有：顾客、最终用户或受益人、业主，股东、员工等。销售部门和相关职能部门通过日常例会、市场活动、现场拜访、产品展销会、客户调查等多种渠道和方式方法随时了解相关方的需求和期望。做为公司经营风险分析和发展机遇的可利用资源。</w:t>
            </w:r>
          </w:p>
          <w:p>
            <w:r>
              <w:rPr>
                <w:rFonts w:hint="eastAsia" w:ascii="Times New Roman" w:hAnsi="Times New Roman" w:cs="Times New Roman"/>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eastAsia="宋体" w:cs="宋体"/>
                <w:b/>
                <w:color w:val="000000" w:themeColor="text1"/>
                <w:sz w:val="20"/>
                <w:szCs w:val="20"/>
              </w:rPr>
              <w:t>█</w:t>
            </w:r>
            <w:r>
              <w:rPr>
                <w:rFonts w:hint="eastAsia" w:ascii="宋体" w:hAnsi="宋体"/>
                <w:b/>
                <w:color w:val="000000" w:themeColor="text1"/>
                <w:sz w:val="20"/>
                <w:szCs w:val="20"/>
              </w:rPr>
              <w:t>质量/</w:t>
            </w:r>
            <w:r>
              <w:rPr>
                <w:rFonts w:hint="eastAsia" w:ascii="宋体" w:hAnsi="宋体" w:eastAsia="宋体" w:cs="宋体"/>
                <w:b/>
                <w:color w:val="000000" w:themeColor="text1"/>
                <w:spacing w:val="-10"/>
                <w:sz w:val="20"/>
                <w:szCs w:val="20"/>
              </w:rPr>
              <w:sym w:font="Wingdings" w:char="00A8"/>
            </w:r>
            <w:r>
              <w:rPr>
                <w:rFonts w:hint="eastAsia" w:ascii="宋体" w:hAnsi="宋体"/>
                <w:b/>
                <w:color w:val="000000" w:themeColor="text1"/>
                <w:sz w:val="20"/>
                <w:szCs w:val="20"/>
              </w:rPr>
              <w:t>环境/</w:t>
            </w:r>
            <w:r>
              <w:rPr>
                <w:rFonts w:hint="eastAsia" w:ascii="宋体" w:hAnsi="宋体" w:eastAsia="宋体" w:cs="宋体"/>
                <w:b/>
                <w:color w:val="000000" w:themeColor="text1"/>
                <w:spacing w:val="-10"/>
                <w:sz w:val="20"/>
                <w:szCs w:val="20"/>
              </w:rPr>
              <w:sym w:font="Wingdings" w:char="00A8"/>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ind w:firstLine="420" w:firstLineChars="200"/>
              <w:jc w:val="both"/>
              <w:rPr>
                <w:rFonts w:hint="eastAsia" w:asciiTheme="minorEastAsia" w:hAnsiTheme="minorEastAsia" w:eastAsiaTheme="minorEastAsia" w:cstheme="minorEastAsia"/>
                <w:b w:val="0"/>
                <w:bCs w:val="0"/>
                <w:color w:val="000000" w:themeColor="text1"/>
                <w:sz w:val="21"/>
                <w:szCs w:val="21"/>
              </w:rPr>
            </w:pPr>
            <w:r>
              <w:rPr>
                <w:rFonts w:hint="eastAsia" w:asciiTheme="minorEastAsia" w:hAnsiTheme="minorEastAsia" w:eastAsiaTheme="minorEastAsia" w:cstheme="minorEastAsia"/>
                <w:b w:val="0"/>
                <w:bCs w:val="0"/>
                <w:color w:val="000000" w:themeColor="text1"/>
                <w:sz w:val="21"/>
                <w:szCs w:val="21"/>
              </w:rPr>
              <w:t>经充分考虑本组织特点，公司的质量方针是：</w:t>
            </w:r>
          </w:p>
          <w:p>
            <w:pPr>
              <w:rPr>
                <w:rFonts w:hint="eastAsia" w:ascii="宋体" w:hAnsi="宋体"/>
                <w:kern w:val="2"/>
                <w:sz w:val="24"/>
                <w:lang w:val="en-US" w:eastAsia="zh-CN" w:bidi="ar-SA"/>
              </w:rPr>
            </w:pPr>
            <w:r>
              <w:rPr>
                <w:rFonts w:hint="eastAsia" w:ascii="宋体" w:hAnsi="宋体"/>
                <w:kern w:val="2"/>
                <w:sz w:val="24"/>
                <w:lang w:val="en-US" w:eastAsia="zh-CN" w:bidi="ar-SA"/>
              </w:rPr>
              <w:t>精益求精、质量第一、顾客满意。</w:t>
            </w:r>
          </w:p>
          <w:p>
            <w:pPr>
              <w:pStyle w:val="2"/>
            </w:pPr>
            <w:r>
              <w:rPr>
                <w:rFonts w:hint="eastAsia"/>
                <w:color w:val="000000"/>
              </w:rPr>
              <w:t>通过管理手册的分发使全体员工理解方针，通过内审和管理评审保持方针的适宜性。</w:t>
            </w:r>
          </w:p>
          <w:p>
            <w:pPr>
              <w:spacing w:line="240" w:lineRule="exact"/>
              <w:ind w:left="199" w:leftChars="95"/>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ind w:left="0" w:leftChars="0" w:firstLine="0" w:firstLineChars="0"/>
              <w:rPr>
                <w:rFonts w:hint="eastAsia"/>
              </w:rPr>
            </w:pPr>
            <w:r>
              <w:rPr>
                <w:rFonts w:hint="eastAsia"/>
              </w:rPr>
              <w:t>风险识别与控制策划</w:t>
            </w:r>
          </w:p>
          <w:p>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编制了《风险和机遇控制程序》，通过识别与评价对公司目标和战略方向相关影响其实现质量管理体系预期结果的各种内外部环境因素，有效应对风险和机遇。 </w:t>
            </w:r>
          </w:p>
          <w:p>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查《质量风险和机遇清单》，公司面临的经营风险与机遇主要有：</w:t>
            </w:r>
          </w:p>
          <w:p>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内部管理风险：领导对管理体系不重视，没有履行足够的承诺，未能配置足够的资源。公司人员不足，相对流动性大。失效文件投入使用，导致引发不良后果；数据信息不准确，导致分析的结论不合理。顾客投诉未能有效解决，顾客满意度低，导致顾客丢失。和竞争对手相比的优劣势分析失误，导致业务萎缩</w:t>
            </w:r>
            <w:r>
              <w:rPr>
                <w:rFonts w:asciiTheme="minorEastAsia" w:hAnsiTheme="minorEastAsia" w:eastAsiaTheme="minorEastAsia" w:cstheme="minorEastAsia"/>
                <w:sz w:val="18"/>
                <w:szCs w:val="18"/>
              </w:rPr>
              <w:t>.........</w:t>
            </w:r>
          </w:p>
          <w:p>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制定了相应措施措施，符合要求。</w:t>
            </w:r>
          </w:p>
          <w:p>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针对质量风险与机遇，质量负责人组织人员对质量控制风险进行了识别、分析和评价。 </w:t>
            </w:r>
          </w:p>
          <w:p>
            <w:pPr>
              <w:pStyle w:val="2"/>
              <w:numPr>
                <w:ilvl w:val="0"/>
                <w:numId w:val="0"/>
              </w:numPr>
              <w:ind w:leftChars="0"/>
            </w:pPr>
            <w:r>
              <w:rPr>
                <w:rFonts w:hint="eastAsia" w:asciiTheme="minorEastAsia" w:hAnsiTheme="minorEastAsia" w:eastAsiaTheme="minorEastAsia" w:cstheme="minorEastAsia"/>
                <w:sz w:val="18"/>
                <w:szCs w:val="18"/>
              </w:rPr>
              <w:t>通过内审、管评、目标考核等来评价风险和机遇应对措施的有效性。公司的风险和机遇控制基本符合要求。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rPr>
                <w:rFonts w:hint="eastAsia" w:ascii="宋体" w:hAnsi="宋体"/>
                <w:b/>
                <w:color w:val="000000" w:themeColor="text1"/>
                <w:sz w:val="20"/>
                <w:szCs w:val="20"/>
              </w:rPr>
            </w:pPr>
            <w:r>
              <w:rPr>
                <w:rFonts w:hint="eastAsia" w:ascii="宋体" w:hAnsi="宋体"/>
                <w:b/>
                <w:color w:val="000000" w:themeColor="text1"/>
                <w:sz w:val="20"/>
                <w:szCs w:val="20"/>
              </w:rPr>
              <w:t>质量管理体系过程有：</w:t>
            </w:r>
          </w:p>
          <w:p>
            <w:pPr>
              <w:rPr>
                <w:rFonts w:hint="eastAsia" w:ascii="宋体" w:hAnsi="宋体"/>
                <w:kern w:val="2"/>
                <w:sz w:val="24"/>
                <w:lang w:val="en-US" w:eastAsia="zh-CN" w:bidi="ar-SA"/>
              </w:rPr>
            </w:pPr>
            <w:r>
              <w:rPr>
                <w:rFonts w:hint="eastAsia" w:ascii="宋体" w:hAnsi="宋体"/>
                <w:kern w:val="2"/>
                <w:sz w:val="24"/>
                <w:lang w:val="en-US" w:eastAsia="zh-CN" w:bidi="ar-SA"/>
              </w:rPr>
              <w:t>发电机支架：激光切割－－下料----焊接—检验入库-</w:t>
            </w:r>
          </w:p>
          <w:p>
            <w:pPr>
              <w:rPr>
                <w:rFonts w:hint="eastAsia" w:ascii="宋体" w:hAnsi="宋体"/>
                <w:kern w:val="2"/>
                <w:sz w:val="24"/>
                <w:lang w:val="en-US" w:eastAsia="zh-CN" w:bidi="ar-SA"/>
              </w:rPr>
            </w:pPr>
            <w:r>
              <w:rPr>
                <w:rFonts w:hint="eastAsia" w:ascii="宋体" w:hAnsi="宋体"/>
                <w:kern w:val="2"/>
                <w:sz w:val="24"/>
                <w:lang w:val="en-US" w:eastAsia="zh-CN" w:bidi="ar-SA"/>
              </w:rPr>
              <w:t>电机保护罩：剪板-----落料----成型(压筋成型)---检验-入库</w:t>
            </w:r>
          </w:p>
          <w:p>
            <w:pPr>
              <w:rPr>
                <w:rFonts w:hint="eastAsia"/>
                <w:color w:val="000000"/>
                <w:szCs w:val="21"/>
                <w:lang w:val="en-US" w:eastAsia="zh-CN"/>
              </w:rPr>
            </w:pPr>
            <w:r>
              <w:rPr>
                <w:rFonts w:hint="eastAsia"/>
                <w:color w:val="000000"/>
                <w:szCs w:val="21"/>
                <w:lang w:val="en-US" w:eastAsia="zh-CN"/>
              </w:rPr>
              <w:t>销售：客户接触----签订合同------采购-----生产----检验-----验收</w:t>
            </w:r>
          </w:p>
          <w:p>
            <w:pPr>
              <w:tabs>
                <w:tab w:val="left" w:pos="540"/>
              </w:tabs>
              <w:spacing w:line="300" w:lineRule="exact"/>
              <w:ind w:left="201" w:hanging="201" w:hangingChars="100"/>
              <w:rPr>
                <w:rFonts w:ascii="宋体" w:hAnsi="宋体"/>
                <w:b/>
                <w:color w:val="auto"/>
                <w:sz w:val="20"/>
                <w:szCs w:val="20"/>
                <w:u w:val="single"/>
              </w:rPr>
            </w:pPr>
            <w:r>
              <w:rPr>
                <w:rFonts w:hint="eastAsia" w:ascii="宋体" w:hAnsi="宋体"/>
                <w:b/>
                <w:color w:val="auto"/>
                <w:sz w:val="20"/>
                <w:szCs w:val="20"/>
              </w:rPr>
              <w:t>中关键过程有</w:t>
            </w:r>
            <w:r>
              <w:rPr>
                <w:rFonts w:hint="eastAsia" w:ascii="宋体" w:hAnsi="宋体"/>
                <w:b/>
                <w:color w:val="auto"/>
                <w:sz w:val="20"/>
                <w:szCs w:val="20"/>
                <w:u w:val="single"/>
              </w:rPr>
              <w:t xml:space="preserve">    </w:t>
            </w:r>
            <w:r>
              <w:rPr>
                <w:rFonts w:hint="eastAsia" w:ascii="宋体" w:hAnsi="宋体"/>
                <w:kern w:val="2"/>
                <w:sz w:val="24"/>
                <w:lang w:val="en-US" w:eastAsia="zh-CN" w:bidi="ar-SA"/>
              </w:rPr>
              <w:t>激光切割</w:t>
            </w:r>
            <w:r>
              <w:rPr>
                <w:rFonts w:hint="eastAsia" w:ascii="宋体" w:hAnsi="宋体"/>
                <w:color w:val="auto"/>
                <w:szCs w:val="21"/>
              </w:rPr>
              <w:t>工</w:t>
            </w:r>
            <w:r>
              <w:rPr>
                <w:rFonts w:hint="eastAsia" w:ascii="宋体" w:hAnsi="宋体"/>
                <w:b/>
                <w:color w:val="auto"/>
                <w:sz w:val="20"/>
                <w:szCs w:val="20"/>
                <w:u w:val="single"/>
              </w:rPr>
              <w:t xml:space="preserve">       </w:t>
            </w:r>
          </w:p>
          <w:p>
            <w:pPr>
              <w:tabs>
                <w:tab w:val="left" w:pos="540"/>
              </w:tabs>
              <w:spacing w:line="300" w:lineRule="exact"/>
              <w:ind w:left="201" w:hanging="201" w:hangingChars="100"/>
              <w:rPr>
                <w:rFonts w:hint="default" w:ascii="宋体" w:hAnsi="宋体" w:eastAsia="宋体"/>
                <w:b/>
                <w:color w:val="000000" w:themeColor="text1"/>
                <w:sz w:val="20"/>
                <w:szCs w:val="20"/>
                <w:u w:val="single"/>
                <w:lang w:val="en-US" w:eastAsia="zh-CN"/>
              </w:rPr>
            </w:pPr>
            <w:r>
              <w:rPr>
                <w:rFonts w:hint="eastAsia" w:ascii="宋体" w:hAnsi="宋体"/>
                <w:b/>
                <w:color w:val="000000" w:themeColor="text1"/>
                <w:sz w:val="20"/>
                <w:szCs w:val="20"/>
              </w:rPr>
              <w:t xml:space="preserve">需要确认过程 </w:t>
            </w:r>
            <w:r>
              <w:rPr>
                <w:rFonts w:hint="eastAsia" w:ascii="宋体" w:hAnsi="宋体" w:cs="Times New Roman"/>
                <w:color w:val="FF0000"/>
                <w:szCs w:val="21"/>
                <w:highlight w:val="none"/>
                <w:lang w:val="en-US" w:eastAsia="zh-CN"/>
              </w:rPr>
              <w:t>焊接过程   销售过程</w:t>
            </w:r>
          </w:p>
          <w:p>
            <w:pPr>
              <w:tabs>
                <w:tab w:val="left" w:pos="540"/>
              </w:tabs>
              <w:spacing w:line="300" w:lineRule="exact"/>
              <w:ind w:left="201" w:hanging="201" w:hangingChars="100"/>
              <w:rPr>
                <w:rFonts w:ascii="宋体" w:hAnsi="宋体"/>
                <w:b/>
                <w:color w:val="000000" w:themeColor="text1"/>
                <w:sz w:val="20"/>
                <w:szCs w:val="20"/>
              </w:rPr>
            </w:pPr>
            <w:r>
              <w:rPr>
                <w:b/>
                <w:color w:val="000000" w:themeColor="text1"/>
                <w:sz w:val="20"/>
                <w:szCs w:val="20"/>
              </w:rPr>
              <w:pict>
                <v:shape id="_x0000_s2050" o:spid="_x0000_s2050" o:spt="32" type="#_x0000_t32" style="position:absolute;left:0pt;margin-left:157.9pt;margin-top:12.75pt;height:0pt;width:261.75pt;z-index:251662336;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1" o:spid="_x0000_s2051" o:spt="32" type="#_x0000_t32" style="position:absolute;left:0pt;margin-left:55.15pt;margin-top:12.75pt;height:0pt;width:42pt;z-index:251661312;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8.3</w:t>
            </w:r>
            <w:r>
              <w:rPr>
                <w:rFonts w:hint="eastAsia" w:ascii="宋体" w:hAnsi="宋体"/>
                <w:b/>
                <w:color w:val="000000" w:themeColor="text1"/>
                <w:sz w:val="20"/>
                <w:szCs w:val="20"/>
              </w:rPr>
              <w:t xml:space="preserve">     ，不适用理由：</w:t>
            </w:r>
            <w:r>
              <w:rPr>
                <w:rFonts w:hint="eastAsia" w:ascii="宋体" w:hAnsi="宋体"/>
                <w:b/>
                <w:color w:val="000000" w:themeColor="text1"/>
                <w:sz w:val="20"/>
                <w:szCs w:val="20"/>
                <w:u w:val="none"/>
              </w:rPr>
              <w:t xml:space="preserve"> </w:t>
            </w:r>
            <w:r>
              <w:rPr>
                <w:rFonts w:hint="eastAsia" w:ascii="宋体" w:hAnsi="宋体"/>
                <w:sz w:val="21"/>
                <w:szCs w:val="21"/>
                <w:lang w:val="en-US" w:eastAsia="zh-CN"/>
              </w:rPr>
              <w:t>因该公司的</w:t>
            </w:r>
            <w:r>
              <w:rPr>
                <w:rFonts w:hint="eastAsia" w:ascii="宋体" w:hAnsi="宋体"/>
                <w:szCs w:val="21"/>
              </w:rPr>
              <w:t xml:space="preserve">汽车零部件（电机保护罩、发电机支架）的生产及销售 </w:t>
            </w:r>
            <w:r>
              <w:rPr>
                <w:rFonts w:hint="eastAsia" w:ascii="宋体" w:hAnsi="宋体"/>
                <w:szCs w:val="21"/>
                <w:lang w:eastAsia="zh-CN"/>
              </w:rPr>
              <w:t>，</w:t>
            </w:r>
            <w:r>
              <w:rPr>
                <w:rFonts w:hint="eastAsia" w:ascii="宋体" w:hAnsi="宋体"/>
                <w:szCs w:val="21"/>
                <w:lang w:val="en-US" w:eastAsia="zh-CN"/>
              </w:rPr>
              <w:t>按照顾客的要求进行，该条款的不适用,</w:t>
            </w:r>
            <w:r>
              <w:rPr>
                <w:rFonts w:hint="eastAsia"/>
              </w:rPr>
              <w:t>不影响组织确保其产品和服务合格的能力和责任，也不会对增强顾客满意产生影响。</w:t>
            </w:r>
            <w:r>
              <w:rPr>
                <w:rFonts w:hint="eastAsia" w:ascii="宋体" w:hAnsi="宋体"/>
                <w:b/>
                <w:color w:val="000000" w:themeColor="text1"/>
                <w:sz w:val="20"/>
                <w:szCs w:val="20"/>
              </w:rPr>
              <w:t xml:space="preserve">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hint="eastAsia"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94" w:lineRule="exact"/>
              <w:ind w:firstLine="420" w:firstLineChars="200"/>
              <w:rPr>
                <w:rFonts w:hint="eastAsia"/>
                <w:sz w:val="21"/>
                <w:szCs w:val="21"/>
              </w:rPr>
            </w:pPr>
            <w:r>
              <w:rPr>
                <w:rFonts w:hint="eastAsia"/>
                <w:sz w:val="21"/>
                <w:szCs w:val="21"/>
              </w:rPr>
              <w:t>编制了</w:t>
            </w:r>
            <w:r>
              <w:rPr>
                <w:sz w:val="21"/>
                <w:szCs w:val="21"/>
              </w:rPr>
              <w:t>《环境因素的识别与评价控制程序》</w:t>
            </w:r>
            <w:r>
              <w:rPr>
                <w:rFonts w:hint="eastAsia"/>
                <w:sz w:val="21"/>
                <w:szCs w:val="21"/>
              </w:rPr>
              <w:t>符合标准要求.</w:t>
            </w:r>
          </w:p>
          <w:p>
            <w:pPr>
              <w:rPr>
                <w:rFonts w:ascii="宋体" w:hAnsi="宋体" w:cs="宋体"/>
                <w:kern w:val="0"/>
                <w:szCs w:val="21"/>
              </w:rPr>
            </w:pPr>
            <w:r>
              <w:rPr>
                <w:rFonts w:hint="eastAsia"/>
                <w:sz w:val="21"/>
                <w:szCs w:val="21"/>
              </w:rPr>
              <w:t>提供的“环境因素识别评价表”“重要环境因素清单”， 评价考虑了三种时态现在、过去、将来、三种状态、异常、正常、紧急考虑了法律法规，并进行了评价，</w:t>
            </w:r>
            <w:r>
              <w:rPr>
                <w:rFonts w:hint="eastAsia" w:ascii="宋体" w:hAnsi="宋体"/>
                <w:szCs w:val="21"/>
              </w:rPr>
              <w:t>资质范围内钢质防火门窗、防火卷帘门、挡烟垂壁的制造及销售；卷帘门的制造及销售；铝塑门窗、木制品及五金产品的销售</w:t>
            </w:r>
            <w:r>
              <w:rPr>
                <w:rFonts w:hint="eastAsia" w:ascii="宋体" w:hAnsi="宋体" w:cs="宋体"/>
                <w:kern w:val="0"/>
                <w:szCs w:val="21"/>
              </w:rPr>
              <w:t>及相关环境管理活动</w:t>
            </w:r>
          </w:p>
          <w:p>
            <w:pPr>
              <w:ind w:firstLine="420" w:firstLineChars="200"/>
              <w:rPr>
                <w:sz w:val="21"/>
                <w:szCs w:val="21"/>
              </w:rPr>
            </w:pPr>
            <w:r>
              <w:rPr>
                <w:rFonts w:hint="eastAsia"/>
                <w:sz w:val="21"/>
                <w:szCs w:val="21"/>
                <w:lang w:eastAsia="zh-CN"/>
              </w:rPr>
              <w:t>根据企业的生产</w:t>
            </w:r>
            <w:r>
              <w:rPr>
                <w:rFonts w:hint="eastAsia"/>
                <w:sz w:val="21"/>
                <w:szCs w:val="21"/>
              </w:rPr>
              <w:t>服务过程，用打分法考虑了法规符合性、发生频次、影响范围等, 通过定性判断法，共识别出重大环境因素</w:t>
            </w:r>
            <w:r>
              <w:rPr>
                <w:rFonts w:hint="eastAsia"/>
                <w:sz w:val="21"/>
                <w:szCs w:val="21"/>
                <w:lang w:val="en-US" w:eastAsia="zh-CN"/>
              </w:rPr>
              <w:t>4</w:t>
            </w:r>
            <w:r>
              <w:rPr>
                <w:rFonts w:hint="eastAsia"/>
                <w:sz w:val="21"/>
                <w:szCs w:val="21"/>
              </w:rPr>
              <w:t>项：固废排放、火灾</w:t>
            </w:r>
            <w:r>
              <w:rPr>
                <w:rFonts w:hint="eastAsia"/>
                <w:sz w:val="21"/>
                <w:szCs w:val="21"/>
                <w:lang w:eastAsia="zh-CN"/>
              </w:rPr>
              <w:t>、噪声、废气</w:t>
            </w:r>
            <w:r>
              <w:rPr>
                <w:rFonts w:hint="eastAsia"/>
                <w:sz w:val="21"/>
                <w:szCs w:val="21"/>
              </w:rPr>
              <w:t>，评价符合程序要求及公司的实际情况。</w:t>
            </w:r>
          </w:p>
          <w:p>
            <w:pPr>
              <w:spacing w:line="300" w:lineRule="exact"/>
              <w:rPr>
                <w:b/>
                <w:color w:val="000000" w:themeColor="text1"/>
                <w:sz w:val="20"/>
                <w:szCs w:val="20"/>
              </w:rPr>
            </w:pPr>
            <w:r>
              <w:rPr>
                <w:rFonts w:hint="eastAsia"/>
                <w:sz w:val="21"/>
                <w:szCs w:val="21"/>
              </w:rPr>
              <w:t>对重要环境因素的控制措施包括制定管理制度、监督检查、应急预案、培训等。提供《重要环境因素识别清单》，其中</w:t>
            </w:r>
            <w:r>
              <w:rPr>
                <w:rFonts w:hint="eastAsia"/>
                <w:sz w:val="21"/>
                <w:szCs w:val="21"/>
                <w:lang w:eastAsia="zh-CN"/>
              </w:rPr>
              <w:t>生产</w:t>
            </w:r>
            <w:r>
              <w:rPr>
                <w:rFonts w:hint="eastAsia"/>
                <w:sz w:val="21"/>
                <w:szCs w:val="21"/>
              </w:rPr>
              <w:t>涉及的重要环境因素：固废排放、火灾</w:t>
            </w:r>
            <w:r>
              <w:rPr>
                <w:rFonts w:hint="eastAsia"/>
                <w:sz w:val="21"/>
                <w:szCs w:val="21"/>
                <w:lang w:eastAsia="zh-CN"/>
              </w:rPr>
              <w:t>、噪声、废气</w:t>
            </w:r>
            <w:r>
              <w:rPr>
                <w:rFonts w:hint="eastAsia"/>
                <w:sz w:val="21"/>
                <w:szCs w:val="21"/>
              </w:rPr>
              <w:t>，评价基本合理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pPr>
            <w:r>
              <w:rPr>
                <w:rFonts w:hint="eastAsia"/>
              </w:rPr>
              <w:t xml:space="preserve">7. </w:t>
            </w:r>
            <w:r>
              <w:t>OHSMS</w:t>
            </w:r>
            <w:r>
              <w:rPr>
                <w:rFonts w:hint="eastAsia"/>
              </w:rPr>
              <w:t>职业健康安全危险源</w:t>
            </w:r>
          </w:p>
          <w:p>
            <w:pPr>
              <w:spacing w:line="300" w:lineRule="exact"/>
              <w:rPr>
                <w:rFonts w:hint="eastAsia"/>
              </w:rPr>
            </w:pPr>
            <w:r>
              <w:rPr>
                <w:rFonts w:hint="eastAsia"/>
              </w:rPr>
              <w:t>（职业健康安全危险源辨识是否充分、风险评价合理性，以及风险评价动态变更的及时性等）</w:t>
            </w:r>
          </w:p>
          <w:p>
            <w:pPr>
              <w:ind w:firstLine="420" w:firstLineChars="200"/>
              <w:rPr>
                <w:rFonts w:hint="eastAsia"/>
                <w:sz w:val="21"/>
                <w:szCs w:val="21"/>
              </w:rPr>
            </w:pPr>
            <w:r>
              <w:rPr>
                <w:rFonts w:hint="eastAsia"/>
                <w:sz w:val="21"/>
                <w:szCs w:val="21"/>
                <w:lang w:eastAsia="zh-CN"/>
              </w:rPr>
              <w:t>编制</w:t>
            </w:r>
            <w:r>
              <w:rPr>
                <w:rFonts w:hint="eastAsia"/>
                <w:sz w:val="21"/>
                <w:szCs w:val="21"/>
              </w:rPr>
              <w:t>《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sz w:val="21"/>
                <w:szCs w:val="21"/>
              </w:rPr>
            </w:pPr>
            <w:r>
              <w:rPr>
                <w:rFonts w:hint="eastAsia"/>
                <w:sz w:val="21"/>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rFonts w:hint="eastAsia"/>
                <w:sz w:val="21"/>
                <w:szCs w:val="21"/>
                <w:lang w:val="en-US" w:eastAsia="zh-CN"/>
              </w:rPr>
              <w:t>6</w:t>
            </w:r>
            <w:r>
              <w:rPr>
                <w:rFonts w:hint="eastAsia"/>
                <w:sz w:val="21"/>
                <w:szCs w:val="21"/>
              </w:rPr>
              <w:t>项，涉及：火灾和触电</w:t>
            </w:r>
            <w:r>
              <w:rPr>
                <w:rFonts w:hint="eastAsia"/>
                <w:sz w:val="21"/>
                <w:szCs w:val="21"/>
                <w:lang w:eastAsia="zh-CN"/>
              </w:rPr>
              <w:t>、机械伤害、职业病、灼烫、起重伤害。</w:t>
            </w:r>
            <w:r>
              <w:rPr>
                <w:rFonts w:hint="eastAsia"/>
                <w:sz w:val="21"/>
                <w:szCs w:val="21"/>
              </w:rPr>
              <w:t>评价符合程序要求及公司的实际情况。对危险源的控制措施包括制定管理制度、监督检查、应急预案、培训等。</w:t>
            </w:r>
          </w:p>
          <w:p>
            <w:pPr>
              <w:pStyle w:val="2"/>
            </w:pPr>
            <w:r>
              <w:rPr>
                <w:rFonts w:hint="eastAsia" w:ascii="Times New Roman" w:hAnsi="Times New Roman" w:eastAsia="宋体" w:cs="Times New Roman"/>
                <w:bCs w:val="0"/>
                <w:spacing w:val="0"/>
                <w:kern w:val="2"/>
                <w:sz w:val="21"/>
                <w:szCs w:val="21"/>
                <w:lang w:val="en-US" w:eastAsia="zh-CN" w:bidi="ar-SA"/>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w:t>
            </w:r>
            <w:r>
              <w:rPr>
                <w:rFonts w:hint="eastAsia" w:ascii="宋体" w:hAnsi="宋体"/>
                <w:b/>
                <w:color w:val="000000" w:themeColor="text1"/>
                <w:szCs w:val="21"/>
                <w:lang w:val="en-US" w:eastAsia="zh-CN"/>
              </w:rPr>
              <w:t>70</w:t>
            </w:r>
            <w:r>
              <w:rPr>
                <w:rFonts w:hint="eastAsia" w:ascii="宋体" w:hAnsi="宋体"/>
                <w:b/>
                <w:color w:val="000000" w:themeColor="text1"/>
                <w:szCs w:val="21"/>
              </w:rPr>
              <w:t>项，</w:t>
            </w:r>
            <w:r>
              <w:rPr>
                <w:rFonts w:hint="eastAsia" w:ascii="宋体" w:hAnsi="宋体"/>
                <w:b/>
                <w:color w:val="000000" w:themeColor="text1"/>
                <w:szCs w:val="21"/>
              </w:rPr>
              <w:sym w:font="Wingdings" w:char="00A8"/>
            </w:r>
            <w:r>
              <w:rPr>
                <w:rFonts w:hint="eastAsia" w:ascii="宋体" w:hAnsi="宋体"/>
                <w:b/>
                <w:color w:val="000000" w:themeColor="text1"/>
                <w:szCs w:val="21"/>
              </w:rPr>
              <w:t>法律法规获取充分，</w:t>
            </w:r>
            <w:r>
              <w:rPr>
                <w:rFonts w:hint="eastAsia" w:ascii="宋体" w:hAnsi="宋体" w:eastAsia="宋体" w:cs="宋体"/>
                <w:b/>
                <w:color w:val="000000" w:themeColor="text1"/>
                <w:szCs w:val="21"/>
              </w:rPr>
              <w:t>█</w:t>
            </w:r>
            <w:r>
              <w:rPr>
                <w:rFonts w:hint="eastAsia" w:ascii="宋体" w:hAnsi="宋体"/>
                <w:b/>
                <w:color w:val="000000" w:themeColor="text1"/>
                <w:szCs w:val="21"/>
              </w:rPr>
              <w:t>法律法规获取有遗漏，缺少</w:t>
            </w:r>
            <w:r>
              <w:rPr>
                <w:rFonts w:hint="eastAsia" w:ascii="宋体" w:hAnsi="宋体"/>
                <w:b/>
                <w:color w:val="000000" w:themeColor="text1"/>
                <w:szCs w:val="21"/>
                <w:lang w:eastAsia="zh-CN"/>
              </w:rPr>
              <w:t>，已开具不符合</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w:t>
            </w:r>
            <w:r>
              <w:rPr>
                <w:rFonts w:hint="eastAsia" w:ascii="宋体" w:hAnsi="宋体"/>
                <w:b/>
                <w:color w:val="000000" w:themeColor="text1"/>
                <w:szCs w:val="21"/>
              </w:rPr>
              <w:sym w:font="Wingdings" w:char="00A8"/>
            </w:r>
            <w:r>
              <w:rPr>
                <w:rFonts w:hint="eastAsia" w:ascii="宋体" w:hAnsi="宋体"/>
                <w:b/>
                <w:color w:val="000000" w:themeColor="text1"/>
                <w:szCs w:val="21"/>
              </w:rPr>
              <w:t>环境因素</w:t>
            </w:r>
            <w:r>
              <w:rPr>
                <w:rFonts w:hint="eastAsia" w:ascii="宋体" w:hAnsi="宋体"/>
                <w:b/>
                <w:color w:val="000000" w:themeColor="text1"/>
                <w:szCs w:val="21"/>
              </w:rPr>
              <w:sym w:font="Wingdings" w:char="00A8"/>
            </w:r>
            <w:r>
              <w:rPr>
                <w:rFonts w:hint="eastAsia" w:ascii="宋体" w:hAnsi="宋体"/>
                <w:b/>
                <w:color w:val="000000" w:themeColor="text1"/>
                <w:szCs w:val="21"/>
              </w:rPr>
              <w:t>危险源，■确定 □未确定法律法规要求的具体条款，</w:t>
            </w:r>
          </w:p>
          <w:p>
            <w:pPr>
              <w:pStyle w:val="15"/>
              <w:numPr>
                <w:ilvl w:val="0"/>
                <w:numId w:val="3"/>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5"/>
              <w:numPr>
                <w:ilvl w:val="0"/>
                <w:numId w:val="3"/>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hint="eastAsia"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pStyle w:val="2"/>
            </w:pPr>
          </w:p>
          <w:p>
            <w:pPr>
              <w:spacing w:line="240" w:lineRule="exact"/>
              <w:ind w:firstLine="420" w:firstLineChars="200"/>
              <w:rPr>
                <w:rFonts w:ascii="宋体" w:hAnsi="宋体"/>
                <w:b/>
                <w:color w:val="000000" w:themeColor="text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pPr>
            <w:r>
              <w:rPr>
                <w:rFonts w:hint="eastAsia"/>
              </w:rPr>
              <w:t>6. 文件与记录控制 (文审修订后文件与标准的符合程度评价、文件控制管理等)</w:t>
            </w:r>
          </w:p>
          <w:p>
            <w:pPr>
              <w:tabs>
                <w:tab w:val="left" w:pos="540"/>
              </w:tabs>
              <w:spacing w:line="240" w:lineRule="exact"/>
            </w:pPr>
          </w:p>
          <w:p>
            <w:pPr>
              <w:pStyle w:val="2"/>
            </w:pPr>
            <w:r>
              <w:rPr>
                <w:rFonts w:hint="eastAsia"/>
                <w:bCs/>
                <w:szCs w:val="21"/>
              </w:rPr>
              <w:t>文审</w:t>
            </w:r>
            <w:r>
              <w:rPr>
                <w:rFonts w:hint="eastAsia"/>
                <w:bCs/>
                <w:szCs w:val="21"/>
                <w:lang w:val="en-US" w:eastAsia="zh-CN"/>
              </w:rPr>
              <w:t>整改</w:t>
            </w:r>
            <w:r>
              <w:rPr>
                <w:rFonts w:hint="eastAsia"/>
                <w:bCs/>
                <w:szCs w:val="21"/>
              </w:rPr>
              <w:t>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rFonts w:hint="eastAsia" w:ascii="宋体" w:hAnsi="宋体"/>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pStyle w:val="2"/>
            </w:pPr>
          </w:p>
          <w:p>
            <w:pPr>
              <w:pStyle w:val="2"/>
              <w:rPr>
                <w:rFonts w:hint="eastAsia" w:ascii="宋体" w:hAnsi="宋体" w:eastAsia="宋体"/>
                <w:b/>
                <w:color w:val="000000" w:themeColor="text1"/>
                <w:sz w:val="20"/>
                <w:szCs w:val="20"/>
                <w:lang w:eastAsia="zh-CN"/>
              </w:rPr>
            </w:pPr>
            <w:r>
              <w:rPr>
                <w:rFonts w:hint="eastAsia"/>
                <w:bCs/>
                <w:szCs w:val="21"/>
              </w:rPr>
              <w:t>该公司员工共</w:t>
            </w:r>
            <w:r>
              <w:rPr>
                <w:rFonts w:hint="eastAsia"/>
                <w:bCs/>
                <w:szCs w:val="21"/>
                <w:lang w:val="en-US" w:eastAsia="zh-CN"/>
              </w:rPr>
              <w:t>25</w:t>
            </w:r>
            <w:r>
              <w:rPr>
                <w:rFonts w:hint="eastAsia"/>
                <w:bCs/>
                <w:szCs w:val="21"/>
              </w:rPr>
              <w:t>人，管理人员</w:t>
            </w:r>
            <w:r>
              <w:rPr>
                <w:rFonts w:hint="eastAsia"/>
                <w:bCs/>
                <w:szCs w:val="21"/>
                <w:lang w:val="en-US" w:eastAsia="zh-CN"/>
              </w:rPr>
              <w:t>4</w:t>
            </w:r>
            <w:r>
              <w:rPr>
                <w:rFonts w:hint="eastAsia"/>
                <w:bCs/>
                <w:szCs w:val="21"/>
              </w:rPr>
              <w:t>人。有专业的</w:t>
            </w:r>
            <w:r>
              <w:rPr>
                <w:rFonts w:hint="eastAsia"/>
                <w:bCs/>
                <w:szCs w:val="21"/>
                <w:lang w:val="en-US" w:eastAsia="zh-CN"/>
              </w:rPr>
              <w:t>销售</w:t>
            </w:r>
            <w:r>
              <w:rPr>
                <w:rFonts w:hint="eastAsia"/>
                <w:bCs/>
                <w:szCs w:val="21"/>
              </w:rPr>
              <w:t>人员</w:t>
            </w:r>
            <w:r>
              <w:rPr>
                <w:rFonts w:hint="eastAsia"/>
                <w:bCs/>
                <w:szCs w:val="21"/>
                <w:lang w:eastAsia="zh-CN"/>
              </w:rPr>
              <w:t>、技术人员</w:t>
            </w:r>
            <w:r>
              <w:rPr>
                <w:rFonts w:hint="eastAsia"/>
                <w:bCs/>
                <w:szCs w:val="21"/>
              </w:rPr>
              <w:t>，能</w:t>
            </w:r>
            <w:r>
              <w:rPr>
                <w:rFonts w:hint="eastAsia"/>
                <w:bCs/>
                <w:szCs w:val="21"/>
                <w:lang w:eastAsia="zh-CN"/>
              </w:rPr>
              <w:t>满足</w:t>
            </w:r>
            <w:r>
              <w:rPr>
                <w:rFonts w:hint="eastAsia" w:ascii="宋体" w:hAnsi="宋体"/>
                <w:szCs w:val="21"/>
              </w:rPr>
              <w:t>机械零部件的销售及技术服务</w:t>
            </w:r>
            <w:r>
              <w:rPr>
                <w:rFonts w:hint="eastAsia" w:ascii="宋体" w:hAnsi="宋体" w:cs="宋体"/>
                <w:kern w:val="0"/>
                <w:szCs w:val="21"/>
                <w:lang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hint="default" w:ascii="黑体" w:hAnsi="黑体" w:eastAsia="黑体" w:cs="黑体"/>
                <w:color w:val="000000"/>
                <w:sz w:val="21"/>
                <w:szCs w:val="21"/>
                <w:lang w:val="en-US" w:eastAsia="zh-CN"/>
              </w:rPr>
            </w:pPr>
            <w:r>
              <w:rPr>
                <w:rFonts w:hint="eastAsia" w:ascii="黑体" w:hAnsi="黑体" w:eastAsia="黑体" w:cs="黑体"/>
                <w:color w:val="000000"/>
                <w:sz w:val="21"/>
                <w:szCs w:val="21"/>
                <w:lang w:val="en-US" w:eastAsia="zh-CN"/>
              </w:rPr>
              <w:t>生产设备：</w:t>
            </w:r>
            <w:r>
              <w:rPr>
                <w:rFonts w:hint="eastAsia" w:ascii="宋体" w:hAnsi="宋体"/>
                <w:color w:val="auto"/>
              </w:rPr>
              <w:t>车</w:t>
            </w:r>
            <w:r>
              <w:rPr>
                <w:rFonts w:hint="eastAsia" w:ascii="宋体" w:hAnsi="宋体"/>
                <w:color w:val="auto"/>
                <w:lang w:val="en-US" w:eastAsia="zh-CN"/>
              </w:rPr>
              <w:t>床</w:t>
            </w:r>
            <w:r>
              <w:rPr>
                <w:rFonts w:hint="eastAsia" w:ascii="宋体" w:hAnsi="宋体"/>
                <w:color w:val="auto"/>
              </w:rPr>
              <w:t>、</w:t>
            </w:r>
            <w:r>
              <w:rPr>
                <w:rFonts w:hint="eastAsia" w:ascii="宋体" w:hAnsi="宋体"/>
                <w:color w:val="auto"/>
                <w:lang w:val="en-US" w:eastAsia="zh-CN"/>
              </w:rPr>
              <w:t>剪板机、钻床、激光切割机、电焊机</w:t>
            </w:r>
            <w:r>
              <w:rPr>
                <w:rFonts w:hint="eastAsia"/>
                <w:color w:val="auto"/>
                <w:szCs w:val="21"/>
              </w:rPr>
              <w:t>等</w:t>
            </w:r>
          </w:p>
          <w:p>
            <w:pPr>
              <w:spacing w:line="240" w:lineRule="exact"/>
              <w:rPr>
                <w:rFonts w:ascii="宋体" w:hAnsi="宋体"/>
                <w:b/>
                <w:color w:val="000000" w:themeColor="text1"/>
                <w:sz w:val="20"/>
                <w:szCs w:val="20"/>
              </w:rPr>
            </w:pPr>
            <w:r>
              <w:rPr>
                <w:rFonts w:hint="eastAsia" w:ascii="黑体" w:hAnsi="黑体" w:eastAsia="黑体" w:cs="黑体"/>
                <w:color w:val="000000"/>
                <w:sz w:val="21"/>
                <w:szCs w:val="21"/>
              </w:rPr>
              <w:t>办公设备:电脑/打印机/传真机/电话等</w:t>
            </w:r>
            <w:r>
              <w:rPr>
                <w:rFonts w:hint="eastAsia" w:ascii="Times New Roman" w:hAnsi="Times New Roman" w:eastAsia="宋体" w:cs="Lucida Sans"/>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r>
              <w:rPr>
                <w:rFonts w:hint="eastAsia"/>
              </w:rPr>
              <w:t>现场办公区域环境卫生管理，工作场所布局合理，温湿度适宜，照明良好，满足办公需求。</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rPr>
                <w:rFonts w:hint="eastAsia"/>
              </w:rPr>
            </w:pPr>
            <w:r>
              <w:rPr>
                <w:rFonts w:hint="eastAsia"/>
              </w:rPr>
              <w:t>监视和测量资源</w:t>
            </w:r>
          </w:p>
          <w:p>
            <w:pPr>
              <w:rPr>
                <w:rFonts w:hint="default" w:ascii="宋体" w:hAnsi="宋体" w:eastAsia="宋体"/>
                <w:b/>
                <w:color w:val="000000" w:themeColor="text1"/>
                <w:sz w:val="20"/>
                <w:szCs w:val="20"/>
                <w:lang w:val="en-US" w:eastAsia="zh-CN"/>
              </w:rPr>
            </w:pPr>
            <w:r>
              <w:rPr>
                <w:rFonts w:hint="eastAsia"/>
              </w:rPr>
              <w:t>有</w:t>
            </w:r>
            <w:r>
              <w:rPr>
                <w:rFonts w:hint="eastAsia"/>
                <w:lang w:eastAsia="zh-CN"/>
              </w:rPr>
              <w:t>质量运行</w:t>
            </w:r>
            <w:r>
              <w:rPr>
                <w:rFonts w:hint="eastAsia"/>
              </w:rPr>
              <w:t>检查记录，能不定期对</w:t>
            </w:r>
            <w:r>
              <w:rPr>
                <w:rFonts w:hint="eastAsia"/>
                <w:lang w:eastAsia="zh-CN"/>
              </w:rPr>
              <w:t>质量管理体系过程</w:t>
            </w:r>
            <w:r>
              <w:rPr>
                <w:rFonts w:hint="eastAsia"/>
              </w:rPr>
              <w:t>进行检查。</w:t>
            </w:r>
            <w:r>
              <w:rPr>
                <w:rFonts w:hint="eastAsia"/>
                <w:lang w:val="en-US" w:eastAsia="zh-CN"/>
              </w:rPr>
              <w:t>提供有高度尺检验报告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000000" w:themeColor="text1"/>
                <w:sz w:val="20"/>
                <w:szCs w:val="20"/>
              </w:rPr>
            </w:pPr>
            <w:r>
              <w:rPr>
                <w:rFonts w:hint="eastAsia"/>
              </w:rPr>
              <w:t>配备有</w:t>
            </w:r>
            <w:r>
              <w:rPr>
                <w:rFonts w:hint="eastAsia"/>
                <w:lang w:eastAsia="zh-CN"/>
              </w:rPr>
              <w:t>消防栓、灭火器</w:t>
            </w:r>
            <w:r>
              <w:rPr>
                <w:rFonts w:hint="eastAsia"/>
              </w:rPr>
              <w:t>等环保设施。</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b/>
                <w:bCs/>
              </w:rPr>
            </w:pPr>
            <w:r>
              <w:rPr>
                <w:rFonts w:hint="eastAsia"/>
                <w:b/>
                <w:bCs/>
              </w:rPr>
              <w:t>职业健康安全设施：</w:t>
            </w:r>
          </w:p>
          <w:p>
            <w:pPr>
              <w:spacing w:line="240" w:lineRule="exact"/>
              <w:rPr>
                <w:rFonts w:hint="eastAsia"/>
              </w:rPr>
            </w:pPr>
            <w:r>
              <w:rPr>
                <w:rFonts w:hint="eastAsia"/>
              </w:rPr>
              <w:t>配备有灭火器等环保设施。</w:t>
            </w:r>
          </w:p>
          <w:p>
            <w:pPr>
              <w:pStyle w:val="2"/>
              <w:rPr>
                <w:rFonts w:hint="eastAsia"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bCs/>
              </w:rPr>
            </w:pPr>
            <w:r>
              <w:rPr>
                <w:rFonts w:hint="eastAsia"/>
                <w:b/>
                <w:bCs/>
              </w:rPr>
              <w:t>1. 针对方针的管理职责评审</w:t>
            </w:r>
          </w:p>
          <w:p>
            <w:pPr>
              <w:spacing w:line="300" w:lineRule="exact"/>
              <w:ind w:left="1"/>
              <w:rPr>
                <w:rFonts w:hint="eastAsia"/>
                <w:b/>
                <w:bCs/>
              </w:rPr>
            </w:pPr>
            <w:r>
              <w:rPr>
                <w:rFonts w:hint="eastAsia"/>
                <w:b/>
                <w:bCs/>
              </w:rPr>
              <w:t>（包括针对组织宗旨，制定相关管理方针政策、确保方针为员工理解并在运营中实施，监视方针的实施并评审方针的适宜性）</w:t>
            </w:r>
          </w:p>
          <w:p>
            <w:pPr>
              <w:pStyle w:val="2"/>
              <w:rPr>
                <w:rFonts w:hint="eastAsia"/>
                <w:b/>
                <w:color w:val="000000" w:themeColor="text1"/>
                <w:sz w:val="20"/>
                <w:szCs w:val="20"/>
              </w:rPr>
            </w:pPr>
          </w:p>
          <w:p>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p>
            <w:pPr>
              <w:pStyle w:val="2"/>
              <w:rPr>
                <w:rFonts w:hint="eastAsia"/>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bCs/>
                <w:szCs w:val="21"/>
              </w:rPr>
              <w:t>会议、公告栏、发放文件等</w:t>
            </w:r>
          </w:p>
          <w:p>
            <w:pPr>
              <w:spacing w:line="240" w:lineRule="exact"/>
              <w:rPr>
                <w:rFonts w:ascii="楷体_GB2312" w:eastAsia="楷体_GB2312"/>
                <w:b/>
                <w:szCs w:val="21"/>
              </w:rPr>
            </w:pPr>
            <w:r>
              <w:rPr>
                <w:rFonts w:hint="eastAsia" w:ascii="楷体_GB2312" w:eastAsia="楷体_GB2312"/>
                <w:b/>
                <w:szCs w:val="21"/>
              </w:rPr>
              <w:t xml:space="preserve">                内部沟通的效果：</w:t>
            </w:r>
            <w:r>
              <w:rPr>
                <w:rFonts w:hint="eastAsia"/>
                <w:bCs/>
                <w:szCs w:val="21"/>
              </w:rPr>
              <w:t>能够得到有效沟通</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bCs/>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p>
          <w:p>
            <w:pPr>
              <w:spacing w:line="240" w:lineRule="exact"/>
              <w:rPr>
                <w:rFonts w:ascii="楷体_GB2312" w:eastAsia="楷体_GB2312"/>
                <w:b/>
                <w:szCs w:val="21"/>
              </w:rPr>
            </w:pPr>
            <w:r>
              <w:rPr>
                <w:rFonts w:hint="eastAsia" w:ascii="楷体_GB2312" w:eastAsia="楷体_GB2312"/>
                <w:b/>
                <w:szCs w:val="21"/>
              </w:rPr>
              <w:t>OHSMS事务代表协商和交流的情况（OHSMS填写）：</w:t>
            </w:r>
            <w:r>
              <w:rPr>
                <w:rFonts w:hint="eastAsia"/>
                <w:bCs/>
                <w:szCs w:val="21"/>
              </w:rPr>
              <w:t>，</w:t>
            </w:r>
          </w:p>
          <w:p>
            <w:pPr>
              <w:spacing w:line="240" w:lineRule="exact"/>
              <w:rPr>
                <w:rFonts w:ascii="楷体_GB2312" w:eastAsia="楷体_GB2312"/>
                <w:b/>
                <w:color w:val="000000" w:themeColor="text1"/>
                <w:szCs w:val="21"/>
              </w:rPr>
            </w:pPr>
            <w:r>
              <w:rPr>
                <w:rFonts w:hint="eastAsia" w:ascii="楷体_GB2312" w:eastAsia="楷体_GB2312"/>
                <w:b/>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left="188" w:leftChars="42" w:hanging="100" w:hangingChars="50"/>
              <w:rPr>
                <w:b/>
                <w:color w:val="000000" w:themeColor="text1"/>
                <w:sz w:val="20"/>
                <w:szCs w:val="20"/>
              </w:rPr>
            </w:pPr>
          </w:p>
          <w:p>
            <w:r>
              <w:rPr>
                <w:rFonts w:hint="eastAsia"/>
              </w:rPr>
              <w:t>提供《特殊过程确认记录表》，确认内容包括：</w:t>
            </w:r>
            <w:r>
              <w:rPr>
                <w:rFonts w:hint="eastAsia" w:ascii="宋体" w:hAnsi="宋体"/>
                <w:szCs w:val="21"/>
              </w:rPr>
              <w:t xml:space="preserve">汽车零部件（电机保护罩、发电机支架）的生产及销售 </w:t>
            </w:r>
            <w:r>
              <w:rPr>
                <w:rFonts w:hint="eastAsia"/>
              </w:rPr>
              <w:t>和程序、设备工具的认可、人员资格的鉴定、记录要求等。评审结论：根据公司实际情况，</w:t>
            </w:r>
            <w:r>
              <w:rPr>
                <w:rFonts w:hint="eastAsia" w:ascii="宋体" w:hAnsi="宋体"/>
                <w:szCs w:val="21"/>
                <w:lang w:val="en-US" w:eastAsia="zh-CN"/>
              </w:rPr>
              <w:t>激光切割</w:t>
            </w:r>
            <w:r>
              <w:rPr>
                <w:rFonts w:hint="eastAsia" w:ascii="宋体" w:hAnsi="宋体"/>
                <w:szCs w:val="21"/>
              </w:rPr>
              <w:t>过程、销售过程</w:t>
            </w:r>
            <w:r>
              <w:rPr>
                <w:rFonts w:hint="eastAsia"/>
              </w:rPr>
              <w:t xml:space="preserve">实现过程按照公司质量控制管理制度进行，过程所用基础设施均处在完好状态，从业人员经过培训，胜任本职工作，可以提供满足顾客要求、法律法规要求的服务。 </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300" w:lineRule="exact"/>
              <w:rPr>
                <w:b/>
                <w:color w:val="000000" w:themeColor="text1"/>
                <w:sz w:val="20"/>
                <w:szCs w:val="20"/>
              </w:rPr>
            </w:pPr>
          </w:p>
          <w:p>
            <w:pPr>
              <w:spacing w:line="240" w:lineRule="exact"/>
              <w:rPr>
                <w:rFonts w:ascii="宋体" w:hAnsi="宋体"/>
                <w:b/>
                <w:szCs w:val="21"/>
              </w:rPr>
            </w:pPr>
            <w:r>
              <w:rPr>
                <w:rFonts w:hint="eastAsia" w:ascii="宋体" w:hAnsi="宋体" w:cs="宋体"/>
                <w:szCs w:val="21"/>
              </w:rPr>
              <w:t>制定并实施了产品检验控制规定，规定了公司各管理层次和品质检测部门在各阶段对产品服务质量实施检查与验收的管理要求。内容基本具备全面性、系统性及可操作性。质量检查与验收均在交付顾客前予以实现，范围包括：过程、最终产品。以此保证持续向顾客稳定提供稳定合格的产品</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rFonts w:hint="eastAsia" w:eastAsia="宋体"/>
                <w:b/>
                <w:color w:val="000000" w:themeColor="text1"/>
                <w:sz w:val="20"/>
                <w:szCs w:val="20"/>
                <w:lang w:val="en-US" w:eastAsia="zh-CN"/>
              </w:rPr>
            </w:pPr>
            <w:r>
              <w:rPr>
                <w:rFonts w:hint="eastAsia"/>
                <w:b/>
                <w:color w:val="000000" w:themeColor="text1"/>
                <w:sz w:val="20"/>
                <w:szCs w:val="20"/>
                <w:lang w:val="en-US" w:eastAsia="zh-CN"/>
              </w:rPr>
              <w:t xml:space="preserve"> 无</w:t>
            </w: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pPr>
            <w:r>
              <w:rPr>
                <w:rFonts w:hint="eastAsia"/>
              </w:rPr>
              <w:t>6. 不合格品/项的识别、控制;</w:t>
            </w:r>
          </w:p>
          <w:p>
            <w:pPr>
              <w:spacing w:line="240" w:lineRule="exact"/>
            </w:pPr>
          </w:p>
          <w:p>
            <w:pPr>
              <w:pStyle w:val="2"/>
            </w:pPr>
            <w:r>
              <w:rPr>
                <w:rFonts w:hint="eastAsia" w:ascii="宋体" w:hAnsi="宋体" w:cs="宋体"/>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p>
            <w:pPr>
              <w:spacing w:line="240" w:lineRule="exact"/>
              <w:rPr>
                <w:b/>
                <w:color w:val="000000" w:themeColor="text1"/>
                <w:spacing w:val="-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auto"/>
                <w:sz w:val="20"/>
                <w:szCs w:val="20"/>
              </w:rPr>
            </w:pPr>
          </w:p>
          <w:p>
            <w:pPr>
              <w:spacing w:line="240" w:lineRule="exact"/>
              <w:rPr>
                <w:rFonts w:hint="eastAsia" w:eastAsia="宋体"/>
                <w:b/>
                <w:color w:val="000000" w:themeColor="text1"/>
                <w:sz w:val="20"/>
                <w:szCs w:val="20"/>
                <w:lang w:eastAsia="zh-CN"/>
              </w:rPr>
            </w:pPr>
            <w:r>
              <w:rPr>
                <w:rFonts w:hint="eastAsia"/>
                <w:b w:val="0"/>
                <w:bCs/>
                <w:color w:val="auto"/>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bCs/>
              </w:rPr>
            </w:pPr>
            <w:r>
              <w:rPr>
                <w:rFonts w:hint="eastAsia"/>
                <w:b/>
                <w:bCs/>
              </w:rPr>
              <w:t>11 .对危险化学品销售、使用、储存、运输处置，规定的执行力度(必要时); （适用时）</w:t>
            </w:r>
          </w:p>
          <w:p>
            <w:pPr>
              <w:pStyle w:val="2"/>
              <w:numPr>
                <w:ilvl w:val="0"/>
                <w:numId w:val="0"/>
              </w:numPr>
              <w:rPr>
                <w:rFonts w:hint="eastAsia" w:ascii="Times New Roman" w:hAnsi="Times New Roman" w:eastAsia="宋体" w:cs="Times New Roman"/>
                <w:b w:val="0"/>
                <w:bCs/>
                <w:color w:val="000000" w:themeColor="text1"/>
                <w:spacing w:val="0"/>
                <w:kern w:val="2"/>
                <w:sz w:val="20"/>
                <w:szCs w:val="20"/>
                <w:lang w:val="en-US" w:eastAsia="zh-CN" w:bidi="ar-SA"/>
              </w:rPr>
            </w:pPr>
          </w:p>
          <w:p>
            <w:pPr>
              <w:pStyle w:val="2"/>
              <w:numPr>
                <w:ilvl w:val="0"/>
                <w:numId w:val="0"/>
              </w:numPr>
              <w:rPr>
                <w:rFonts w:hint="eastAsia" w:ascii="Times New Roman" w:hAnsi="Times New Roman" w:eastAsia="宋体" w:cs="Times New Roman"/>
                <w:b w:val="0"/>
                <w:bCs/>
                <w:color w:val="000000" w:themeColor="text1"/>
                <w:spacing w:val="0"/>
                <w:kern w:val="2"/>
                <w:sz w:val="20"/>
                <w:szCs w:val="20"/>
                <w:lang w:val="en-US" w:eastAsia="zh-CN" w:bidi="ar-SA"/>
              </w:rPr>
            </w:pPr>
            <w:r>
              <w:rPr>
                <w:rFonts w:hint="eastAsia" w:cs="Times New Roman"/>
                <w:b w:val="0"/>
                <w:bCs/>
                <w:color w:val="000000" w:themeColor="text1"/>
                <w:spacing w:val="0"/>
                <w:kern w:val="2"/>
                <w:sz w:val="20"/>
                <w:szCs w:val="20"/>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00" w:firstLineChars="50"/>
              <w:rPr>
                <w:b/>
                <w:color w:val="000000" w:themeColor="text1"/>
                <w:sz w:val="20"/>
                <w:szCs w:val="20"/>
              </w:rPr>
            </w:pPr>
          </w:p>
          <w:p>
            <w:pPr>
              <w:spacing w:line="240" w:lineRule="exact"/>
              <w:ind w:firstLine="105" w:firstLineChars="50"/>
              <w:rPr>
                <w:b/>
                <w:color w:val="000000" w:themeColor="text1"/>
                <w:sz w:val="20"/>
                <w:szCs w:val="20"/>
              </w:rPr>
            </w:pPr>
            <w:r>
              <w:rPr>
                <w:rFonts w:hint="eastAsia" w:ascii="宋体" w:hAnsi="宋体" w:cs="宋体"/>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2020年</w:t>
            </w:r>
            <w:r>
              <w:rPr>
                <w:rFonts w:hint="eastAsia" w:ascii="宋体" w:hAnsi="宋体" w:cs="宋体"/>
                <w:szCs w:val="21"/>
                <w:lang w:val="en-US" w:eastAsia="zh-CN"/>
              </w:rPr>
              <w:t>1</w:t>
            </w:r>
            <w:r>
              <w:rPr>
                <w:rFonts w:hint="eastAsia" w:ascii="宋体" w:hAnsi="宋体" w:cs="宋体"/>
                <w:szCs w:val="21"/>
              </w:rPr>
              <w:t>月-2020年9月目标的测量，总体已达到或超过了规定的目标值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0" w:hanging="100" w:hangingChars="50"/>
              <w:rPr>
                <w:b/>
                <w:color w:val="000000" w:themeColor="text1"/>
                <w:sz w:val="20"/>
                <w:szCs w:val="20"/>
              </w:rPr>
            </w:pPr>
          </w:p>
          <w:p>
            <w:pPr>
              <w:spacing w:line="240" w:lineRule="exact"/>
              <w:ind w:left="105" w:hanging="105" w:hangingChars="50"/>
            </w:pPr>
            <w:r>
              <w:rPr>
                <w:rFonts w:hint="eastAsia"/>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满意度评价98分，总体实现了顾客满意度的质量目标要求。</w:t>
            </w:r>
          </w:p>
          <w:p>
            <w:pPr>
              <w:spacing w:line="240" w:lineRule="exact"/>
              <w:ind w:left="100" w:leftChars="0" w:hanging="100" w:hangingChars="5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b/>
                <w:color w:val="000000" w:themeColor="text1"/>
                <w:sz w:val="20"/>
                <w:szCs w:val="20"/>
              </w:rPr>
            </w:pPr>
            <w:r>
              <w:rPr>
                <w:rFonts w:hint="eastAsia" w:ascii="宋体" w:hAnsi="宋体"/>
                <w:szCs w:val="21"/>
              </w:rPr>
              <w:t>建立有《内部审核控制程序》，规定了内审频次一年一次，内审时间：</w:t>
            </w:r>
            <w:r>
              <w:rPr>
                <w:rFonts w:hint="eastAsia"/>
              </w:rPr>
              <w:t>2020年</w:t>
            </w:r>
            <w:r>
              <w:rPr>
                <w:rFonts w:hint="eastAsia"/>
                <w:lang w:val="en-US" w:eastAsia="zh-CN"/>
              </w:rPr>
              <w:t>9</w:t>
            </w:r>
            <w:r>
              <w:rPr>
                <w:rFonts w:hint="eastAsia"/>
              </w:rPr>
              <w:t>月</w:t>
            </w:r>
            <w:r>
              <w:rPr>
                <w:rFonts w:hint="eastAsia"/>
                <w:lang w:val="en-US" w:eastAsia="zh-CN"/>
              </w:rPr>
              <w:t>12</w:t>
            </w:r>
            <w:r>
              <w:rPr>
                <w:rFonts w:hint="eastAsia"/>
              </w:rPr>
              <w:t>日</w:t>
            </w:r>
            <w:r>
              <w:rPr>
                <w:rFonts w:hint="eastAsia" w:ascii="宋体" w:hAnsi="宋体"/>
                <w:szCs w:val="21"/>
              </w:rPr>
              <w:t>，拟定了审核实施表，明确了内审范围，内审人员经培训合格上岗，能力满足要求，未出现审核本部门情况，内审不符合项1项，已及时采取纠正措施后，经内审员验证关闭。内审的有效性需要改善</w:t>
            </w:r>
            <w:r>
              <w:rPr>
                <w:rFonts w:hint="eastAsia"/>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rFonts w:hint="eastAsia" w:ascii="宋体" w:hAnsi="宋体" w:cs="宋体"/>
                <w:szCs w:val="21"/>
              </w:rPr>
            </w:pPr>
          </w:p>
          <w:p>
            <w:pPr>
              <w:spacing w:line="240" w:lineRule="exact"/>
              <w:rPr>
                <w:b/>
                <w:color w:val="000000" w:themeColor="text1"/>
                <w:sz w:val="20"/>
                <w:szCs w:val="20"/>
              </w:rPr>
            </w:pPr>
            <w:r>
              <w:rPr>
                <w:rFonts w:hint="eastAsia" w:ascii="宋体" w:hAnsi="宋体" w:cs="宋体"/>
                <w:szCs w:val="21"/>
              </w:rPr>
              <w:t>管理评审频次为一年一次、本次管理评审于</w:t>
            </w:r>
            <w:r>
              <w:rPr>
                <w:rFonts w:hint="eastAsia"/>
              </w:rPr>
              <w:t>2020年</w:t>
            </w:r>
            <w:r>
              <w:rPr>
                <w:rFonts w:hint="eastAsia"/>
                <w:lang w:val="en-US" w:eastAsia="zh-CN"/>
              </w:rPr>
              <w:t>9</w:t>
            </w:r>
            <w:r>
              <w:rPr>
                <w:rFonts w:hint="eastAsia"/>
              </w:rPr>
              <w:t>月</w:t>
            </w:r>
            <w:r>
              <w:rPr>
                <w:rFonts w:hint="eastAsia"/>
                <w:lang w:val="en-US" w:eastAsia="zh-CN"/>
              </w:rPr>
              <w:t>25</w:t>
            </w:r>
            <w:r>
              <w:rPr>
                <w:rFonts w:hint="eastAsia"/>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b/>
                <w:color w:val="FF0000"/>
                <w:sz w:val="20"/>
                <w:szCs w:val="20"/>
              </w:rPr>
            </w:pPr>
          </w:p>
          <w:p>
            <w:pPr>
              <w:spacing w:line="240" w:lineRule="exact"/>
              <w:rPr>
                <w:rFonts w:hint="default" w:eastAsia="宋体"/>
                <w:b/>
                <w:color w:val="000000" w:themeColor="text1"/>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vAlign w:val="top"/>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p>
          <w:p>
            <w:pPr>
              <w:spacing w:line="240" w:lineRule="exact"/>
              <w:ind w:firstLine="420" w:firstLineChars="200"/>
            </w:pPr>
            <w:r>
              <w:rPr>
                <w:rFonts w:hint="eastAsia"/>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p>
          <w:p>
            <w:pPr>
              <w:spacing w:line="240" w:lineRule="exact"/>
              <w:rPr>
                <w:rFonts w:hint="default" w:eastAsia="宋体"/>
                <w:b/>
                <w:color w:val="000000" w:themeColor="text1"/>
                <w:spacing w:val="-20"/>
                <w:sz w:val="20"/>
                <w:szCs w:val="20"/>
                <w:lang w:val="en-US" w:eastAsia="zh-CN"/>
              </w:rPr>
            </w:pPr>
            <w:r>
              <w:rPr>
                <w:rFonts w:hint="eastAsia"/>
                <w:bCs/>
                <w:szCs w:val="21"/>
                <w:lang w:eastAsia="zh-CN"/>
              </w:rPr>
              <w:t>一阶段</w:t>
            </w:r>
            <w:r>
              <w:rPr>
                <w:rFonts w:hint="eastAsia"/>
                <w:bCs/>
                <w:szCs w:val="21"/>
                <w:lang w:val="en-US" w:eastAsia="zh-CN"/>
              </w:rPr>
              <w:t>未提出书面问题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numPr>
                <w:ilvl w:val="0"/>
                <w:numId w:val="4"/>
              </w:numPr>
              <w:spacing w:line="240" w:lineRule="exact"/>
              <w:rPr>
                <w:rFonts w:hint="eastAsia"/>
              </w:rPr>
            </w:pPr>
            <w:r>
              <w:rPr>
                <w:rFonts w:hint="eastAsia"/>
              </w:rPr>
              <w:t>上次不符合的整改情况（再认证填写）</w:t>
            </w:r>
          </w:p>
          <w:p>
            <w:pPr>
              <w:pStyle w:val="2"/>
              <w:numPr>
                <w:numId w:val="0"/>
              </w:numPr>
              <w:rPr>
                <w:rFonts w:hint="default" w:eastAsia="宋体"/>
                <w:lang w:val="en-US" w:eastAsia="zh-CN"/>
              </w:rPr>
            </w:pPr>
            <w:r>
              <w:rPr>
                <w:rFonts w:hint="eastAsia"/>
                <w:lang w:val="en-US" w:eastAsia="zh-CN"/>
              </w:rPr>
              <w:t>上次远程审核未提出书面不符合</w:t>
            </w:r>
            <w:bookmarkStart w:id="5" w:name="_GoBack"/>
            <w:bookmarkEnd w:id="5"/>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2052"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严重不符合项，一般不符合</w:t>
      </w:r>
      <w:r>
        <w:rPr>
          <w:rFonts w:hint="eastAsia"/>
          <w:b/>
          <w:color w:val="auto"/>
          <w:lang w:val="en-US" w:eastAsia="zh-CN"/>
        </w:rPr>
        <w:t>0</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宋体" w:hAnsi="宋体" w:eastAsia="宋体" w:cs="宋体"/>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ascii="宋体" w:hAnsi="宋体" w:eastAsia="宋体" w:cs="宋体"/>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ascii="宋体" w:hAnsi="宋体" w:eastAsia="宋体" w:cs="宋体"/>
                <w:b/>
                <w:color w:val="000000" w:themeColor="text1"/>
                <w:spacing w:val="-10"/>
                <w:sz w:val="22"/>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 </w:t>
            </w:r>
            <w:r>
              <w:rPr>
                <w:rFonts w:hint="eastAsia"/>
                <w:b/>
                <w:color w:val="000000" w:themeColor="text1"/>
                <w:spacing w:val="-10"/>
                <w:sz w:val="22"/>
                <w:szCs w:val="22"/>
              </w:rPr>
              <w:sym w:font="Wingdings" w:char="00A8"/>
            </w:r>
            <w:r>
              <w:rPr>
                <w:rFonts w:hint="eastAsia"/>
                <w:b/>
                <w:color w:val="000000" w:themeColor="text1"/>
                <w:sz w:val="22"/>
                <w:szCs w:val="22"/>
              </w:rPr>
              <w:t xml:space="preserve">EMS </w:t>
            </w:r>
            <w:r>
              <w:rPr>
                <w:rFonts w:hint="eastAsia" w:ascii="宋体" w:hAnsi="宋体"/>
                <w:b/>
                <w:color w:val="000000" w:themeColor="text1"/>
                <w:spacing w:val="-10"/>
                <w:sz w:val="22"/>
                <w:szCs w:val="21"/>
              </w:rPr>
              <w:sym w:font="Wingdings" w:char="00A8"/>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rFonts w:hint="eastAsia"/>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pStyle w:val="16"/>
              <w:spacing w:line="340" w:lineRule="exact"/>
              <w:ind w:left="1453" w:hanging="1033"/>
              <w:rPr>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color w:val="000000"/>
                <w:szCs w:val="21"/>
              </w:rPr>
              <w:t>襄阳高歌汽车部件有限公司</w:t>
            </w:r>
            <w:r>
              <w:rPr>
                <w:rFonts w:hint="eastAsia"/>
                <w:color w:val="000000"/>
                <w:szCs w:val="21"/>
                <w:lang w:val="en-US" w:eastAsia="zh-CN"/>
              </w:rPr>
              <w:t xml:space="preserve"> </w:t>
            </w:r>
            <w:r>
              <w:rPr>
                <w:rFonts w:hint="eastAsia"/>
                <w:color w:val="auto"/>
                <w:kern w:val="2"/>
                <w:sz w:val="21"/>
                <w:szCs w:val="21"/>
                <w:lang w:val="en-GB"/>
              </w:rPr>
              <w:t>的</w:t>
            </w:r>
          </w:p>
          <w:p>
            <w:pPr>
              <w:pStyle w:val="16"/>
              <w:spacing w:line="340" w:lineRule="exact"/>
              <w:ind w:left="1441"/>
              <w:rPr>
                <w:color w:val="auto"/>
                <w:kern w:val="2"/>
                <w:sz w:val="21"/>
                <w:szCs w:val="21"/>
                <w:lang w:val="en-GB"/>
              </w:rPr>
            </w:pPr>
            <w:r>
              <w:rPr>
                <w:rFonts w:hint="eastAsia" w:ascii="宋体" w:hAnsi="宋体" w:cs="宋体"/>
                <w:b/>
                <w:color w:val="auto"/>
                <w:sz w:val="21"/>
                <w:szCs w:val="21"/>
              </w:rPr>
              <w:t>▉</w:t>
            </w:r>
            <w:r>
              <w:rPr>
                <w:rFonts w:hint="eastAsia"/>
                <w:color w:val="auto"/>
                <w:kern w:val="2"/>
                <w:sz w:val="21"/>
                <w:szCs w:val="21"/>
                <w:lang w:val="en-GB"/>
              </w:rPr>
              <w:t>质量</w:t>
            </w:r>
            <w:r>
              <w:rPr>
                <w:rFonts w:hint="eastAsia" w:ascii="宋体" w:hAnsi="宋体" w:cs="宋体"/>
                <w:b/>
                <w:color w:val="auto"/>
                <w:kern w:val="2"/>
                <w:sz w:val="21"/>
                <w:szCs w:val="21"/>
                <w:lang w:val="en-GB"/>
              </w:rPr>
              <w:sym w:font="Wingdings" w:char="00A8"/>
            </w:r>
            <w:r>
              <w:rPr>
                <w:rFonts w:hint="eastAsia"/>
                <w:color w:val="auto"/>
                <w:kern w:val="2"/>
                <w:sz w:val="21"/>
                <w:szCs w:val="21"/>
                <w:lang w:val="en-GB"/>
              </w:rPr>
              <w:t>环境</w:t>
            </w:r>
            <w:r>
              <w:rPr>
                <w:rFonts w:hint="eastAsia" w:ascii="宋体" w:hAnsi="宋体" w:cs="宋体"/>
                <w:b/>
                <w:color w:val="auto"/>
                <w:kern w:val="2"/>
                <w:sz w:val="21"/>
                <w:szCs w:val="21"/>
                <w:lang w:val="en-GB"/>
              </w:rPr>
              <w:sym w:font="Wingdings" w:char="00A8"/>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7"/>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olor w:val="auto"/>
                      <w:kern w:val="2"/>
                      <w:sz w:val="21"/>
                      <w:szCs w:val="21"/>
                      <w:lang w:val="en-GB"/>
                    </w:rPr>
                    <w:t>符合</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s="宋体"/>
                      <w:color w:val="auto"/>
                      <w:sz w:val="21"/>
                      <w:szCs w:val="21"/>
                    </w:rPr>
                    <w:t>适用要求</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满足</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s="宋体"/>
                      <w:color w:val="auto"/>
                      <w:sz w:val="21"/>
                      <w:szCs w:val="21"/>
                    </w:rPr>
                    <w:t>实现预期结果的能力</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满足</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s="宋体"/>
                      <w:color w:val="auto"/>
                      <w:sz w:val="21"/>
                      <w:szCs w:val="21"/>
                    </w:rPr>
                    <w:t>内部审核和管理评审过程</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有效</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s="宋体"/>
                      <w:color w:val="auto"/>
                      <w:sz w:val="21"/>
                      <w:szCs w:val="21"/>
                    </w:rPr>
                    <w:t>审核目的</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达到</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有效</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pStyle w:val="2"/>
            </w:pPr>
          </w:p>
          <w:p>
            <w:pPr>
              <w:spacing w:line="240" w:lineRule="exact"/>
              <w:rPr>
                <w:b/>
                <w:color w:val="000000" w:themeColor="text1"/>
                <w:sz w:val="22"/>
                <w:szCs w:val="22"/>
              </w:rPr>
            </w:pPr>
            <w:r>
              <w:rPr>
                <w:rFonts w:hint="eastAsia" w:ascii="宋体" w:hAnsi="宋体" w:eastAsia="宋体" w:cs="宋体"/>
                <w:b/>
                <w:color w:val="000000" w:themeColor="text1"/>
                <w:spacing w:val="-10"/>
                <w:sz w:val="22"/>
                <w:szCs w:val="21"/>
              </w:rPr>
              <w:t>█</w:t>
            </w:r>
            <w:r>
              <w:rPr>
                <w:rFonts w:hint="eastAsia"/>
                <w:b/>
                <w:color w:val="000000" w:themeColor="text1"/>
                <w:sz w:val="22"/>
                <w:szCs w:val="22"/>
              </w:rPr>
              <w:t xml:space="preserve">QMS  </w:t>
            </w:r>
            <w:r>
              <w:rPr>
                <w:rFonts w:hint="eastAsia" w:ascii="宋体" w:hAnsi="宋体"/>
                <w:b/>
                <w:color w:val="000000" w:themeColor="text1"/>
                <w:spacing w:val="-10"/>
                <w:sz w:val="22"/>
                <w:szCs w:val="21"/>
              </w:rPr>
              <w:sym w:font="Wingdings" w:char="00A8"/>
            </w:r>
            <w:r>
              <w:rPr>
                <w:rFonts w:hint="eastAsia"/>
                <w:b/>
                <w:color w:val="000000" w:themeColor="text1"/>
                <w:sz w:val="22"/>
                <w:szCs w:val="22"/>
              </w:rPr>
              <w:t xml:space="preserve">EMS  </w:t>
            </w:r>
            <w:r>
              <w:rPr>
                <w:rFonts w:hint="eastAsia" w:ascii="宋体" w:hAnsi="宋体"/>
                <w:b/>
                <w:color w:val="000000" w:themeColor="text1"/>
                <w:spacing w:val="-10"/>
                <w:sz w:val="22"/>
                <w:szCs w:val="21"/>
              </w:rPr>
              <w:sym w:font="Wingdings" w:char="00A8"/>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p>
            <w:pPr>
              <w:spacing w:line="240" w:lineRule="exact"/>
              <w:rPr>
                <w:rFonts w:hint="eastAsia" w:eastAsia="宋体"/>
                <w:b/>
                <w:color w:val="000000" w:themeColor="text1"/>
                <w:sz w:val="22"/>
                <w:szCs w:val="22"/>
                <w:lang w:eastAsia="zh-CN"/>
              </w:rPr>
            </w:pPr>
            <w:r>
              <w:rPr>
                <w:rFonts w:hint="eastAsia"/>
                <w:bCs/>
                <w:szCs w:val="21"/>
              </w:rPr>
              <w:t>组织建立并实施的管理体系基本符合标准要求，可能存在的重要风险可以得到有效控制，没有出现过环境和安全事故以及顾客投诉事件发生，体系运行基本有效，组织初步建立了自我完善和自我改进机</w:t>
            </w:r>
            <w:r>
              <w:rPr>
                <w:rFonts w:hint="eastAsia"/>
                <w:bCs/>
                <w:color w:val="000000" w:themeColor="text1"/>
                <w:szCs w:val="21"/>
              </w:rPr>
              <w:t>制。</w:t>
            </w:r>
            <w:r>
              <w:rPr>
                <w:rFonts w:hint="eastAsia"/>
                <w:bCs/>
                <w:color w:val="000000" w:themeColor="text1"/>
                <w:szCs w:val="21"/>
                <w:lang w:val="en-US" w:eastAsia="zh-CN"/>
              </w:rPr>
              <w:t>因远程审核，没有对</w:t>
            </w:r>
            <w:r>
              <w:rPr>
                <w:rFonts w:hint="eastAsia"/>
                <w:bCs/>
                <w:color w:val="000000" w:themeColor="text1"/>
                <w:szCs w:val="21"/>
              </w:rPr>
              <w:t>现场开具不符合项</w:t>
            </w:r>
            <w:r>
              <w:rPr>
                <w:rFonts w:hint="eastAsia"/>
                <w:bCs/>
                <w:color w:val="000000" w:themeColor="text1"/>
                <w:szCs w:val="21"/>
                <w:lang w:eastAsia="zh-CN"/>
              </w:rPr>
              <w:t>，</w:t>
            </w:r>
            <w:r>
              <w:rPr>
                <w:rFonts w:hint="eastAsia"/>
                <w:bCs/>
                <w:color w:val="000000" w:themeColor="text1"/>
                <w:szCs w:val="21"/>
                <w:lang w:val="en-US" w:eastAsia="zh-CN"/>
              </w:rPr>
              <w:t>公司在疫情结束后会安排现场审核，对远程审核进行核验，根据本次审核的情况</w:t>
            </w:r>
            <w:r>
              <w:rPr>
                <w:rFonts w:hint="eastAsia"/>
                <w:bCs/>
                <w:color w:val="000000" w:themeColor="text1"/>
                <w:szCs w:val="21"/>
              </w:rPr>
              <w:t>，同意推荐认证注册</w:t>
            </w:r>
            <w:r>
              <w:rPr>
                <w:rFonts w:hint="eastAsia"/>
                <w:bCs/>
                <w:color w:val="000000" w:themeColor="text1"/>
                <w:szCs w:val="21"/>
                <w:lang w:eastAsia="zh-CN"/>
              </w:rPr>
              <w:t>。</w:t>
            </w: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rFonts w:hint="eastAsia"/>
                <w:b/>
                <w:color w:val="000000" w:themeColor="text1"/>
              </w:rPr>
            </w:pPr>
            <w:r>
              <w:rPr>
                <w:rFonts w:hint="eastAsia" w:ascii="宋体" w:hAnsi="宋体" w:eastAsia="宋体" w:cs="宋体"/>
                <w:b/>
                <w:color w:val="000000" w:themeColor="text1"/>
                <w:spacing w:val="-10"/>
                <w:szCs w:val="21"/>
              </w:rPr>
              <w:t>▇</w:t>
            </w:r>
            <w:r>
              <w:rPr>
                <w:rFonts w:hint="eastAsia"/>
                <w:b/>
                <w:color w:val="000000" w:themeColor="text1"/>
              </w:rPr>
              <w:t>审核范围适宜，与申请范围一致</w:t>
            </w:r>
          </w:p>
          <w:p>
            <w:pPr>
              <w:pStyle w:val="2"/>
            </w:pPr>
            <w:r>
              <w:rPr>
                <w:rFonts w:hint="eastAsia" w:ascii="宋体" w:hAnsi="宋体"/>
                <w:szCs w:val="21"/>
              </w:rPr>
              <w:t xml:space="preserve">汽车零部件（电机保护罩、发电机支架）的生产及销售 </w:t>
            </w:r>
          </w:p>
          <w:p>
            <w:pPr>
              <w:rPr>
                <w:b/>
                <w:color w:val="000000" w:themeColor="text1"/>
              </w:rPr>
            </w:pPr>
            <w:r>
              <w:rPr>
                <w:rFonts w:hint="eastAsia" w:ascii="宋体" w:hAnsi="宋体" w:eastAsia="宋体" w:cs="宋体"/>
                <w:b/>
                <w:color w:val="000000" w:themeColor="text1"/>
                <w:spacing w:val="-10"/>
                <w:szCs w:val="21"/>
                <w:lang w:eastAsia="zh-CN"/>
              </w:rPr>
              <w:sym w:font="Wingdings" w:char="00A8"/>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hint="eastAsia" w:ascii="宋体" w:hAnsi="宋体"/>
                <w:b/>
                <w:color w:val="000000" w:themeColor="text1"/>
              </w:rPr>
              <w:t xml:space="preserve"> </w:t>
            </w:r>
            <w:r>
              <w:rPr>
                <w:rFonts w:hint="eastAsia" w:ascii="宋体" w:hAnsi="宋体"/>
                <w:b/>
                <w:color w:val="000000" w:themeColor="text1"/>
                <w:u w:val="single"/>
              </w:rPr>
              <w:t xml:space="preserve">      </w:t>
            </w:r>
            <w:r>
              <w:rPr>
                <w:rFonts w:hint="eastAsia" w:ascii="宋体" w:hAnsi="宋体"/>
                <w:szCs w:val="21"/>
              </w:rPr>
              <w:t xml:space="preserve"> </w:t>
            </w:r>
            <w:r>
              <w:rPr>
                <w:rFonts w:hint="eastAsia" w:ascii="宋体" w:hAnsi="宋体"/>
                <w:b/>
                <w:color w:val="000000" w:themeColor="text1"/>
                <w:u w:val="single"/>
              </w:rPr>
              <w:t xml:space="preserve">                                                             </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ascii="宋体" w:hAnsi="宋体" w:eastAsia="宋体" w:cs="宋体"/>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ascii="宋体" w:hAnsi="宋体" w:eastAsia="宋体" w:cs="宋体"/>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ascii="宋体" w:hAnsi="宋体" w:eastAsia="宋体" w:cs="宋体"/>
                <w:b/>
                <w:color w:val="000000" w:themeColor="text1"/>
                <w:spacing w:val="-10"/>
                <w:szCs w:val="21"/>
              </w:rPr>
              <w:sym w:font="Wingdings" w:char="00A8"/>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ascii="宋体" w:hAnsi="宋体" w:eastAsia="宋体" w:cs="宋体"/>
                <w:b/>
                <w:color w:val="000000" w:themeColor="text1"/>
                <w:szCs w:val="21"/>
              </w:rPr>
              <w:sym w:font="Wingdings" w:char="00A8"/>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sym w:font="Wingdings" w:char="00A8"/>
            </w:r>
            <w:r>
              <w:rPr>
                <w:rFonts w:hint="eastAsia"/>
                <w:b/>
                <w:color w:val="000000" w:themeColor="text1"/>
                <w:szCs w:val="21"/>
              </w:rPr>
              <w:t xml:space="preserve">EMS   </w:t>
            </w:r>
            <w:r>
              <w:rPr>
                <w:rFonts w:hint="eastAsia" w:ascii="宋体" w:hAnsi="宋体" w:eastAsia="宋体" w:cs="宋体"/>
                <w:b/>
                <w:color w:val="000000" w:themeColor="text1"/>
                <w:spacing w:val="-10"/>
                <w:szCs w:val="21"/>
              </w:rPr>
              <w:sym w:font="Wingdings" w:char="00A8"/>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一般不符合报告在天/严重不符合在天针对不符合原因制定并实施纠正措施。验证方式见不符合项报告。</w:t>
      </w:r>
    </w:p>
    <w:p>
      <w:pPr>
        <w:numPr>
          <w:ilvl w:val="0"/>
          <w:numId w:val="5"/>
        </w:numPr>
        <w:spacing w:beforeLines="50" w:afterLines="50"/>
        <w:ind w:left="62" w:leftChars="-405" w:hanging="912" w:hangingChars="326"/>
      </w:pPr>
      <w:r>
        <w:rPr>
          <w:rFonts w:hint="eastAsia" w:ascii="仿宋" w:hAnsi="仿宋" w:eastAsia="仿宋" w:cstheme="minorBidi"/>
          <w:color w:val="000000" w:themeColor="text1"/>
          <w:kern w:val="24"/>
          <w:sz w:val="28"/>
          <w:szCs w:val="28"/>
        </w:rPr>
        <w:t>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pacing w:beforeLines="50"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r>
        <w:drawing>
          <wp:inline distT="0" distB="0" distL="114300" distR="114300">
            <wp:extent cx="904875" cy="396240"/>
            <wp:effectExtent l="0" t="0" r="9525" b="1016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904875" cy="396240"/>
                    </a:xfrm>
                    <a:prstGeom prst="rect">
                      <a:avLst/>
                    </a:prstGeom>
                    <a:noFill/>
                    <a:ln>
                      <a:noFill/>
                    </a:ln>
                  </pic:spPr>
                </pic:pic>
              </a:graphicData>
            </a:graphic>
          </wp:inline>
        </w:drawing>
      </w:r>
    </w:p>
    <w:p>
      <w:pPr>
        <w:snapToGrid w:val="0"/>
        <w:spacing w:beforeLines="50" w:line="360" w:lineRule="auto"/>
        <w:ind w:firstLine="527" w:firstLineChars="250"/>
        <w:rPr>
          <w:b/>
          <w:color w:val="000000" w:themeColor="text1"/>
        </w:rPr>
      </w:pP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r>
        <w:drawing>
          <wp:inline distT="0" distB="0" distL="114300" distR="114300">
            <wp:extent cx="1043940" cy="334645"/>
            <wp:effectExtent l="0" t="0" r="1016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1043940" cy="334645"/>
                    </a:xfrm>
                    <a:prstGeom prst="rect">
                      <a:avLst/>
                    </a:prstGeom>
                    <a:noFill/>
                    <a:ln>
                      <a:noFill/>
                    </a:ln>
                  </pic:spPr>
                </pic:pic>
              </a:graphicData>
            </a:graphic>
          </wp:inline>
        </w:drawing>
      </w:r>
    </w:p>
    <w:p>
      <w:pPr>
        <w:snapToGrid w:val="0"/>
        <w:spacing w:line="360" w:lineRule="auto"/>
        <w:ind w:firstLine="3080" w:firstLineChars="1461"/>
        <w:rPr>
          <w:b/>
          <w:color w:val="000000" w:themeColor="text1"/>
          <w:sz w:val="16"/>
          <w:szCs w:val="16"/>
        </w:rPr>
      </w:pPr>
      <w:r>
        <w:rPr>
          <w:rFonts w:hint="eastAsia"/>
          <w:b/>
          <w:color w:val="000000" w:themeColor="text1"/>
        </w:rPr>
        <w:t xml:space="preserve">日期    </w:t>
      </w:r>
      <w:r>
        <w:rPr>
          <w:rFonts w:hint="eastAsia"/>
          <w:b/>
          <w:color w:val="000000" w:themeColor="text1"/>
          <w:lang w:val="en-US" w:eastAsia="zh-CN"/>
        </w:rPr>
        <w:t>2021</w:t>
      </w:r>
      <w:r>
        <w:rPr>
          <w:rFonts w:hint="eastAsia"/>
          <w:b/>
          <w:color w:val="000000" w:themeColor="text1"/>
        </w:rPr>
        <w:t xml:space="preserve">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3</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27</w:t>
      </w:r>
      <w:r>
        <w:rPr>
          <w:rFonts w:hint="eastAsia" w:asciiTheme="minorEastAsia" w:hAnsiTheme="minorEastAsia" w:eastAsiaTheme="minorEastAsia"/>
          <w:b/>
          <w:color w:val="000000" w:themeColor="text1"/>
        </w:rPr>
        <w:t>日</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Lines="50"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ascii="宋体" w:hAnsi="宋体" w:eastAsia="宋体" w:cs="宋体"/>
          <w:b/>
          <w:bCs/>
          <w:color w:val="000000" w:themeColor="text1"/>
          <w:spacing w:val="-10"/>
          <w:szCs w:val="21"/>
        </w:rPr>
        <w:sym w:font="Wingdings" w:char="00A8"/>
      </w:r>
      <w:r>
        <w:rPr>
          <w:rFonts w:hint="eastAsia"/>
          <w:b/>
          <w:color w:val="000000" w:themeColor="text1"/>
          <w:szCs w:val="21"/>
        </w:rPr>
        <w:t>QMS(  )个一般不符合，(  )个严重不符合，</w:t>
      </w:r>
      <w:r>
        <w:rPr>
          <w:rFonts w:hint="eastAsia" w:ascii="宋体" w:hAnsi="宋体" w:eastAsia="宋体" w:cs="宋体"/>
          <w:b/>
          <w:color w:val="000000" w:themeColor="text1"/>
          <w:spacing w:val="-10"/>
          <w:szCs w:val="21"/>
        </w:rPr>
        <w:sym w:font="Wingdings" w:char="00A8"/>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宋体" w:hAnsi="宋体" w:eastAsia="宋体" w:cs="宋体"/>
          <w:b/>
          <w:bCs/>
          <w:color w:val="000000" w:themeColor="text1"/>
          <w:spacing w:val="-10"/>
          <w:szCs w:val="21"/>
        </w:rPr>
        <w:sym w:font="Wingdings" w:char="00A8"/>
      </w:r>
      <w:r>
        <w:rPr>
          <w:rFonts w:hint="eastAsia"/>
          <w:b/>
          <w:color w:val="000000" w:themeColor="text1"/>
          <w:szCs w:val="21"/>
        </w:rPr>
        <w:t>EMS(  )个一般不符合，(  )个严重不符合，</w:t>
      </w:r>
      <w:r>
        <w:rPr>
          <w:rFonts w:hint="eastAsia" w:ascii="宋体" w:hAnsi="宋体" w:eastAsia="宋体" w:cs="宋体"/>
          <w:b/>
          <w:color w:val="000000" w:themeColor="text1"/>
          <w:spacing w:val="-10"/>
          <w:szCs w:val="21"/>
        </w:rPr>
        <w:sym w:font="Wingdings" w:char="00A8"/>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宋体" w:hAnsi="宋体" w:eastAsia="宋体" w:cs="宋体"/>
          <w:b/>
          <w:bCs/>
          <w:color w:val="000000" w:themeColor="text1"/>
          <w:szCs w:val="21"/>
        </w:rPr>
        <w:sym w:font="Wingdings" w:char="00A8"/>
      </w:r>
      <w:r>
        <w:rPr>
          <w:rFonts w:hint="eastAsia"/>
          <w:b/>
          <w:color w:val="000000" w:themeColor="text1"/>
          <w:szCs w:val="21"/>
        </w:rPr>
        <w:t>OHSMS(个一般不符合，(  )个严重不符合，</w:t>
      </w:r>
      <w:r>
        <w:rPr>
          <w:rFonts w:hint="eastAsia" w:ascii="宋体" w:hAnsi="宋体" w:eastAsia="宋体" w:cs="宋体"/>
          <w:b/>
          <w:color w:val="000000" w:themeColor="text1"/>
          <w:spacing w:val="-10"/>
          <w:szCs w:val="21"/>
        </w:rPr>
        <w:sym w:font="Wingdings" w:char="00A8"/>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Lines="50"/>
        <w:ind w:firstLine="422" w:firstLineChars="200"/>
        <w:rPr>
          <w:b/>
          <w:color w:val="000000" w:themeColor="text1"/>
          <w:szCs w:val="21"/>
        </w:rPr>
      </w:pP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ascii="宋体" w:hAnsi="宋体" w:eastAsia="宋体" w:cs="宋体"/>
          <w:b/>
          <w:color w:val="000000" w:themeColor="text1"/>
          <w:spacing w:val="-10"/>
          <w:szCs w:val="21"/>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hint="eastAsia"/>
          <w:b/>
          <w:color w:val="000000" w:themeColor="text1"/>
          <w:szCs w:val="21"/>
        </w:rPr>
        <w:t xml:space="preserve">组长签字:   </w:t>
      </w:r>
      <w:r>
        <w:drawing>
          <wp:inline distT="0" distB="0" distL="114300" distR="114300">
            <wp:extent cx="904875" cy="288290"/>
            <wp:effectExtent l="0" t="0" r="9525"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904875" cy="288290"/>
                    </a:xfrm>
                    <a:prstGeom prst="rect">
                      <a:avLst/>
                    </a:prstGeom>
                    <a:noFill/>
                    <a:ln>
                      <a:noFill/>
                    </a:ln>
                  </pic:spPr>
                </pic:pic>
              </a:graphicData>
            </a:graphic>
          </wp:inline>
        </w:drawing>
      </w:r>
      <w:r>
        <w:rPr>
          <w:rFonts w:hint="eastAsia"/>
          <w:b/>
          <w:color w:val="000000" w:themeColor="text1"/>
          <w:szCs w:val="21"/>
        </w:rPr>
        <w:t xml:space="preserve">                       日期:  </w:t>
      </w:r>
      <w:r>
        <w:rPr>
          <w:rFonts w:hint="eastAsia"/>
          <w:b/>
          <w:color w:val="000000" w:themeColor="text1"/>
          <w:szCs w:val="21"/>
          <w:lang w:val="en-US" w:eastAsia="zh-CN"/>
        </w:rPr>
        <w:t>2021</w:t>
      </w:r>
      <w:r>
        <w:rPr>
          <w:rFonts w:hint="eastAsia"/>
          <w:b/>
          <w:color w:val="000000" w:themeColor="text1"/>
          <w:szCs w:val="21"/>
        </w:rPr>
        <w:t xml:space="preserve">  年</w:t>
      </w:r>
      <w:r>
        <w:rPr>
          <w:rFonts w:hint="eastAsia"/>
          <w:b/>
          <w:color w:val="000000" w:themeColor="text1"/>
          <w:szCs w:val="21"/>
          <w:lang w:val="en-US" w:eastAsia="zh-CN"/>
        </w:rPr>
        <w:t>3</w:t>
      </w:r>
      <w:r>
        <w:rPr>
          <w:rFonts w:hint="eastAsia"/>
          <w:b/>
          <w:color w:val="000000" w:themeColor="text1"/>
          <w:szCs w:val="21"/>
        </w:rPr>
        <w:t xml:space="preserve"> 月 </w:t>
      </w:r>
      <w:r>
        <w:rPr>
          <w:rFonts w:hint="eastAsia"/>
          <w:b/>
          <w:color w:val="000000" w:themeColor="text1"/>
          <w:szCs w:val="21"/>
          <w:lang w:val="en-US" w:eastAsia="zh-CN"/>
        </w:rPr>
        <w:t>27</w:t>
      </w:r>
      <w:r>
        <w:rPr>
          <w:rFonts w:hint="eastAsia"/>
          <w:b/>
          <w:color w:val="000000" w:themeColor="text1"/>
          <w:szCs w:val="21"/>
        </w:rPr>
        <w:t>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6"/>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6"/>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Chars="-405" w:hanging="850" w:hangingChars="403"/>
        <w:rPr>
          <w:b/>
          <w:color w:val="000000" w:themeColor="text1"/>
          <w:szCs w:val="21"/>
          <w:u w:val="single"/>
        </w:rPr>
      </w:pPr>
    </w:p>
    <w:p>
      <w:pPr>
        <w:snapToGrid w:val="0"/>
        <w:spacing w:line="360" w:lineRule="auto"/>
        <w:ind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Lines="50"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Lines="50"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144" w:leftChars="-405" w:hanging="706" w:hangingChars="335"/>
        <w:rPr>
          <w:b/>
          <w:bCs/>
          <w:color w:val="000000" w:themeColor="text1"/>
          <w:szCs w:val="21"/>
        </w:rPr>
      </w:pPr>
      <w:r>
        <w:rPr>
          <w:rFonts w:hint="eastAsia"/>
          <w:b/>
          <w:bCs/>
          <w:color w:val="000000" w:themeColor="text1"/>
          <w:szCs w:val="21"/>
        </w:rPr>
        <w:t>6. 对同时申请CNAS标志证书的组织，应注意两种证书的注册范围可能不同。</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Lucida Sans">
    <w:altName w:val="Lucida Sans Unicode"/>
    <w:panose1 w:val="020B0602030504020204"/>
    <w:charset w:val="00"/>
    <w:family w:val="swiss"/>
    <w:pitch w:val="default"/>
    <w:sig w:usb0="00000000" w:usb1="00000000" w:usb2="00000000" w:usb3="00000000" w:csb0="20000001"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Lucida Sans Unicode">
    <w:panose1 w:val="020B0602030504020204"/>
    <w:charset w:val="00"/>
    <w:family w:val="auto"/>
    <w:pitch w:val="default"/>
    <w:sig w:usb0="80001AFF" w:usb1="0000396B" w:usb2="00000000" w:usb3="00000000" w:csb0="200000BF" w:csb1="D7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090DE2"/>
    <w:multiLevelType w:val="singleLevel"/>
    <w:tmpl w:val="3E090DE2"/>
    <w:lvl w:ilvl="0" w:tentative="0">
      <w:start w:val="5"/>
      <w:numFmt w:val="decimal"/>
      <w:suff w:val="space"/>
      <w:lvlText w:val="%1."/>
      <w:lvlJc w:val="left"/>
    </w:lvl>
  </w:abstractNum>
  <w:abstractNum w:abstractNumId="1">
    <w:nsid w:val="406EA223"/>
    <w:multiLevelType w:val="singleLevel"/>
    <w:tmpl w:val="406EA223"/>
    <w:lvl w:ilvl="0" w:tentative="0">
      <w:start w:val="2"/>
      <w:numFmt w:val="decimal"/>
      <w:suff w:val="nothing"/>
      <w:lvlText w:val="%1、"/>
      <w:lvlJc w:val="left"/>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05769BE"/>
    <w:multiLevelType w:val="singleLevel"/>
    <w:tmpl w:val="505769BE"/>
    <w:lvl w:ilvl="0" w:tentative="0">
      <w:start w:val="13"/>
      <w:numFmt w:val="chineseCounting"/>
      <w:suff w:val="space"/>
      <w:lvlText w:val="%1、"/>
      <w:lvlJc w:val="left"/>
      <w:rPr>
        <w:rFonts w:hint="eastAsia"/>
      </w:rPr>
    </w:lvl>
  </w:abstractNum>
  <w:abstractNum w:abstractNumId="5">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2"/>
  </w:num>
  <w:num w:numId="2">
    <w:abstractNumId w:val="1"/>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1113C"/>
    <w:rsid w:val="000247CC"/>
    <w:rsid w:val="000443F0"/>
    <w:rsid w:val="00075C70"/>
    <w:rsid w:val="0008517E"/>
    <w:rsid w:val="000F2F8F"/>
    <w:rsid w:val="00197C64"/>
    <w:rsid w:val="001D5696"/>
    <w:rsid w:val="00250BBA"/>
    <w:rsid w:val="002B120A"/>
    <w:rsid w:val="002C24DB"/>
    <w:rsid w:val="002D1483"/>
    <w:rsid w:val="002F549E"/>
    <w:rsid w:val="00304003"/>
    <w:rsid w:val="00341103"/>
    <w:rsid w:val="00373391"/>
    <w:rsid w:val="00376915"/>
    <w:rsid w:val="003E3D4F"/>
    <w:rsid w:val="003F74C1"/>
    <w:rsid w:val="004100EA"/>
    <w:rsid w:val="00464786"/>
    <w:rsid w:val="00484B0B"/>
    <w:rsid w:val="004C1602"/>
    <w:rsid w:val="004D3E71"/>
    <w:rsid w:val="005164BD"/>
    <w:rsid w:val="00584F23"/>
    <w:rsid w:val="00592421"/>
    <w:rsid w:val="005B46F0"/>
    <w:rsid w:val="005B675E"/>
    <w:rsid w:val="005E1CBB"/>
    <w:rsid w:val="00603285"/>
    <w:rsid w:val="00610FA8"/>
    <w:rsid w:val="006306D9"/>
    <w:rsid w:val="00632A83"/>
    <w:rsid w:val="0063633F"/>
    <w:rsid w:val="00664382"/>
    <w:rsid w:val="006C6F24"/>
    <w:rsid w:val="00712F52"/>
    <w:rsid w:val="00770469"/>
    <w:rsid w:val="00775D3A"/>
    <w:rsid w:val="00784CC6"/>
    <w:rsid w:val="007C4DD7"/>
    <w:rsid w:val="008030AC"/>
    <w:rsid w:val="00845D78"/>
    <w:rsid w:val="00850E86"/>
    <w:rsid w:val="00853D8C"/>
    <w:rsid w:val="00857EF7"/>
    <w:rsid w:val="008648E8"/>
    <w:rsid w:val="00877EB8"/>
    <w:rsid w:val="008A6929"/>
    <w:rsid w:val="008B07CC"/>
    <w:rsid w:val="009203AC"/>
    <w:rsid w:val="0092740B"/>
    <w:rsid w:val="00932B07"/>
    <w:rsid w:val="00986C4E"/>
    <w:rsid w:val="009958FB"/>
    <w:rsid w:val="009A7BA8"/>
    <w:rsid w:val="009E496A"/>
    <w:rsid w:val="009E741A"/>
    <w:rsid w:val="00A02276"/>
    <w:rsid w:val="00A057D9"/>
    <w:rsid w:val="00A112DB"/>
    <w:rsid w:val="00AB1797"/>
    <w:rsid w:val="00AB688A"/>
    <w:rsid w:val="00AC3F5D"/>
    <w:rsid w:val="00AE71F3"/>
    <w:rsid w:val="00AF66F6"/>
    <w:rsid w:val="00B1795A"/>
    <w:rsid w:val="00B34573"/>
    <w:rsid w:val="00BC3244"/>
    <w:rsid w:val="00BD2793"/>
    <w:rsid w:val="00C634D9"/>
    <w:rsid w:val="00C757A7"/>
    <w:rsid w:val="00D00BA6"/>
    <w:rsid w:val="00D1113C"/>
    <w:rsid w:val="00D40E52"/>
    <w:rsid w:val="00DD2268"/>
    <w:rsid w:val="00E148C5"/>
    <w:rsid w:val="00E255D2"/>
    <w:rsid w:val="00E32B36"/>
    <w:rsid w:val="00E9214A"/>
    <w:rsid w:val="00EF1481"/>
    <w:rsid w:val="00F326DC"/>
    <w:rsid w:val="00F64301"/>
    <w:rsid w:val="00F86288"/>
    <w:rsid w:val="00FA5C98"/>
    <w:rsid w:val="00FD38F7"/>
    <w:rsid w:val="00FF14F7"/>
    <w:rsid w:val="00FF6078"/>
    <w:rsid w:val="0212106C"/>
    <w:rsid w:val="0A8430E9"/>
    <w:rsid w:val="0C492367"/>
    <w:rsid w:val="102A6291"/>
    <w:rsid w:val="14E11A4F"/>
    <w:rsid w:val="15911EE4"/>
    <w:rsid w:val="1C440198"/>
    <w:rsid w:val="1FD23B53"/>
    <w:rsid w:val="21611269"/>
    <w:rsid w:val="23C80190"/>
    <w:rsid w:val="24F917BD"/>
    <w:rsid w:val="30EF3F0B"/>
    <w:rsid w:val="3C6210A8"/>
    <w:rsid w:val="4A577766"/>
    <w:rsid w:val="4B4A3A22"/>
    <w:rsid w:val="53D8127E"/>
    <w:rsid w:val="5CDD1C2D"/>
    <w:rsid w:val="658C5063"/>
    <w:rsid w:val="6C0C7415"/>
    <w:rsid w:val="6C6D46D0"/>
    <w:rsid w:val="71D50C40"/>
    <w:rsid w:val="754B21DB"/>
    <w:rsid w:val="77C84C48"/>
    <w:rsid w:val="7A3A032B"/>
    <w:rsid w:val="7CBF32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qFormat/>
    <w:uiPriority w:val="99"/>
    <w:rPr>
      <w:sz w:val="18"/>
      <w:szCs w:val="18"/>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
    <w:basedOn w:val="9"/>
    <w:link w:val="5"/>
    <w:semiHidden/>
    <w:qFormat/>
    <w:uiPriority w:val="99"/>
    <w:rPr>
      <w:rFonts w:ascii="Times New Roman" w:hAnsi="Times New Roman" w:eastAsia="宋体" w:cs="Times New Roman"/>
      <w:sz w:val="18"/>
      <w:szCs w:val="18"/>
    </w:rPr>
  </w:style>
  <w:style w:type="character" w:customStyle="1" w:styleId="13">
    <w:name w:val="页脚 Char"/>
    <w:basedOn w:val="9"/>
    <w:link w:val="4"/>
    <w:semiHidden/>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paragraph" w:customStyle="1" w:styleId="15">
    <w:name w:val="列出段落1"/>
    <w:basedOn w:val="1"/>
    <w:qFormat/>
    <w:uiPriority w:val="34"/>
    <w:pPr>
      <w:ind w:firstLine="420" w:firstLineChars="200"/>
    </w:p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807</Words>
  <Characters>4604</Characters>
  <Lines>38</Lines>
  <Paragraphs>10</Paragraphs>
  <TotalTime>2</TotalTime>
  <ScaleCrop>false</ScaleCrop>
  <LinksUpToDate>false</LinksUpToDate>
  <CharactersWithSpaces>5401</CharactersWithSpaces>
  <Application>WPS Office_11.1.0.10446_F1E327BC-269C-435d-A152-05C5408002CA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dcterms:modified xsi:type="dcterms:W3CDTF">2021-03-29T08:10:15Z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826C20D625F849FB9C7E24160BC31EB0</vt:lpwstr>
  </property>
</Properties>
</file>