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56"/>
        <w:gridCol w:w="774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甘肃省水利水电工程局有限责任公司金属结构分公司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Q：17.06.01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77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压力钢管生产工艺流程：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下料→冷压卷板→焊接→组对→环缝焊接→探伤检测→防腐（外包）→检验→交付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滑动闸门生产工艺流程：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下料→组对焊接→矫正→组装焊接→矫正→探伤检测→防腐（外包）→检验→交付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所需作业文件：图纸、设备安全操作规程、工艺规范、岗位规程、作业指导书、检验规范、管理制度等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设备管理风险和机遇内容：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1.设备能力不足。2.设备经常损坏，影响生产销售的进度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管理措施：1设备的保养及备件储备。2.建立完整的设备故障应急预案，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工作环境管理风险和机遇内容：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1相关检查维护制度没有建立。2.没有对工作环境进行日常的检查维护。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管理措施：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1每年至少安排对工作环境检测一次，以验证工作区域是否符合要求。</w:t>
            </w:r>
          </w:p>
          <w:p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2.建立维护保养计划，以确保工作环境得到了维护、保养和检查。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潜在火灾/爆炸、机械伤害、起重伤害、职业病伤害、触电。控制措施包括制定制度，加强培训，定期安全检查，制定应急预案等。用直接判断法对识别的危险源进行评价，本部门不可接受风险火灾，评价基本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Ansi="宋体"/>
                <w:kern w:val="0"/>
              </w:rPr>
              <w:t>《</w:t>
            </w:r>
            <w:r>
              <w:rPr>
                <w:rFonts w:hAnsi="宋体"/>
                <w:kern w:val="0"/>
                <w:sz w:val="21"/>
                <w:szCs w:val="21"/>
              </w:rPr>
              <w:t>中华人民共和国环境保护法》、《中华人民共和国环境影响评价法》</w:t>
            </w:r>
            <w:r>
              <w:rPr>
                <w:rFonts w:hint="eastAsia" w:hAnsi="宋体"/>
                <w:kern w:val="0"/>
                <w:sz w:val="21"/>
                <w:szCs w:val="21"/>
              </w:rPr>
              <w:t>、</w:t>
            </w:r>
            <w:r>
              <w:rPr>
                <w:rFonts w:hAnsi="宋体"/>
                <w:kern w:val="0"/>
                <w:sz w:val="21"/>
                <w:szCs w:val="21"/>
              </w:rPr>
              <w:t>《中华人民共和国固体废弃物污染环境防治法》、《中华人民共和国环境噪声污染防治法》、《中华人民共和国消防法》、《中华人民共和国招标投标法》、《中华人民共和国合同法》、《中华人民共和国劳动合同法》、《中华人民共和国节约能源法》、《中华人民共和国安全生产法》、《工伤保险条例》、《特种设备安全监察条例》</w:t>
            </w:r>
            <w:r>
              <w:rPr>
                <w:kern w:val="0"/>
                <w:sz w:val="21"/>
                <w:szCs w:val="21"/>
              </w:rPr>
              <w:t>)</w:t>
            </w:r>
            <w:r>
              <w:rPr>
                <w:rFonts w:hAnsi="宋体"/>
                <w:kern w:val="0"/>
                <w:sz w:val="21"/>
                <w:szCs w:val="21"/>
              </w:rPr>
              <w:t>、《生产安全事故报告和调查处理条例》、《工伤认定办法》、《企业职工培训规定》、《漏电保护器安装与运行》等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b/>
                <w:sz w:val="20"/>
              </w:rPr>
              <w:t>无损检测</w:t>
            </w:r>
            <w:r>
              <w:rPr>
                <w:rFonts w:hint="eastAsia"/>
                <w:b/>
                <w:sz w:val="20"/>
              </w:rPr>
              <w:t>。</w:t>
            </w:r>
            <w:r>
              <w:rPr>
                <w:b/>
                <w:sz w:val="20"/>
              </w:rPr>
              <w:t>对产品生产制定</w:t>
            </w:r>
            <w:r>
              <w:rPr>
                <w:rFonts w:hint="eastAsia"/>
                <w:sz w:val="21"/>
                <w:szCs w:val="21"/>
              </w:rPr>
              <w:t>金属结构件产品工艺流程卡、产品标识卡、焊缝外观质量评定表、压力钢管制作单元工程质量评定表、一二次焊缝外观质量评定表、纵缝、环焊缝检查等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安涛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年</w:t>
      </w:r>
      <w:r>
        <w:rPr>
          <w:rFonts w:hint="eastAsia" w:ascii="宋体"/>
          <w:b/>
          <w:sz w:val="22"/>
          <w:szCs w:val="22"/>
          <w:lang w:val="en-US" w:eastAsia="zh-CN"/>
        </w:rPr>
        <w:t>3</w:t>
      </w:r>
      <w:r>
        <w:rPr>
          <w:rFonts w:hint="eastAsia" w:ascii="宋体"/>
          <w:b/>
          <w:sz w:val="22"/>
          <w:szCs w:val="22"/>
        </w:rPr>
        <w:t>月</w:t>
      </w:r>
      <w:r>
        <w:rPr>
          <w:rFonts w:hint="eastAsia" w:ascii="宋体"/>
          <w:b/>
          <w:sz w:val="22"/>
          <w:szCs w:val="22"/>
          <w:lang w:val="en-US" w:eastAsia="zh-CN"/>
        </w:rPr>
        <w:t>25</w:t>
      </w:r>
      <w:r>
        <w:rPr>
          <w:rFonts w:hint="eastAsia" w:ascii="宋体"/>
          <w:b/>
          <w:sz w:val="22"/>
          <w:szCs w:val="22"/>
        </w:rPr>
        <w:t>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李凤仪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202</w:t>
      </w:r>
      <w:r>
        <w:rPr>
          <w:rFonts w:hint="eastAsia" w:ascii="宋体"/>
          <w:b/>
          <w:sz w:val="22"/>
          <w:szCs w:val="22"/>
          <w:lang w:val="en-US" w:eastAsia="zh-CN"/>
        </w:rPr>
        <w:t>1</w:t>
      </w:r>
      <w:r>
        <w:rPr>
          <w:rFonts w:hint="eastAsia" w:ascii="宋体"/>
          <w:b/>
          <w:sz w:val="22"/>
          <w:szCs w:val="22"/>
        </w:rPr>
        <w:t>年</w:t>
      </w:r>
      <w:r>
        <w:rPr>
          <w:rFonts w:hint="eastAsia" w:ascii="宋体"/>
          <w:b/>
          <w:sz w:val="22"/>
          <w:szCs w:val="22"/>
          <w:lang w:val="en-US" w:eastAsia="zh-CN"/>
        </w:rPr>
        <w:t>3</w:t>
      </w:r>
      <w:r>
        <w:rPr>
          <w:rFonts w:hint="eastAsia" w:ascii="宋体"/>
          <w:b/>
          <w:sz w:val="22"/>
          <w:szCs w:val="22"/>
        </w:rPr>
        <w:t>月</w:t>
      </w:r>
      <w:r>
        <w:rPr>
          <w:rFonts w:hint="eastAsia" w:ascii="宋体"/>
          <w:b/>
          <w:sz w:val="22"/>
          <w:szCs w:val="22"/>
          <w:lang w:val="en-US" w:eastAsia="zh-CN"/>
        </w:rPr>
        <w:t>25</w:t>
      </w:r>
      <w:r>
        <w:rPr>
          <w:rFonts w:hint="eastAsia" w:ascii="宋体"/>
          <w:b/>
          <w:sz w:val="22"/>
          <w:szCs w:val="22"/>
        </w:rPr>
        <w:t>日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11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2021-03-24T01:24:13Z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4788196DF3944BA890B63DBDA9A67D56</vt:lpwstr>
  </property>
</Properties>
</file>