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885"/>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35" w:type="dxa"/>
            <w:vMerge w:val="restart"/>
            <w:vAlign w:val="center"/>
          </w:tcPr>
          <w:p>
            <w:pPr>
              <w:spacing w:before="120"/>
              <w:jc w:val="center"/>
              <w:rPr>
                <w:rFonts w:ascii="宋体" w:hAnsi="宋体" w:cs="宋体"/>
                <w:sz w:val="24"/>
                <w:szCs w:val="24"/>
              </w:rPr>
            </w:pPr>
            <w:r>
              <w:rPr>
                <w:rFonts w:hint="eastAsia" w:ascii="宋体" w:hAnsi="宋体" w:cs="宋体"/>
                <w:sz w:val="24"/>
                <w:szCs w:val="24"/>
              </w:rPr>
              <w:t>过程与活动、</w:t>
            </w:r>
          </w:p>
          <w:p>
            <w:pPr>
              <w:jc w:val="center"/>
              <w:rPr>
                <w:rFonts w:ascii="宋体" w:hAnsi="宋体" w:cs="宋体"/>
              </w:rPr>
            </w:pPr>
            <w:r>
              <w:rPr>
                <w:rFonts w:hint="eastAsia" w:ascii="宋体" w:hAnsi="宋体" w:cs="宋体"/>
                <w:sz w:val="24"/>
                <w:szCs w:val="24"/>
              </w:rPr>
              <w:t>抽样计划</w:t>
            </w:r>
          </w:p>
        </w:tc>
        <w:tc>
          <w:tcPr>
            <w:tcW w:w="885" w:type="dxa"/>
            <w:vMerge w:val="restart"/>
            <w:vAlign w:val="center"/>
          </w:tcPr>
          <w:p>
            <w:pPr>
              <w:rPr>
                <w:rFonts w:ascii="宋体" w:hAnsi="宋体" w:cs="宋体"/>
                <w:sz w:val="24"/>
                <w:szCs w:val="24"/>
              </w:rPr>
            </w:pPr>
            <w:r>
              <w:rPr>
                <w:rFonts w:hint="eastAsia" w:ascii="宋体" w:hAnsi="宋体" w:cs="宋体"/>
                <w:sz w:val="24"/>
                <w:szCs w:val="24"/>
              </w:rPr>
              <w:t>涉及</w:t>
            </w:r>
          </w:p>
          <w:p>
            <w:pPr>
              <w:rPr>
                <w:rFonts w:ascii="宋体" w:hAnsi="宋体" w:cs="宋体"/>
              </w:rPr>
            </w:pPr>
            <w:r>
              <w:rPr>
                <w:rFonts w:hint="eastAsia" w:ascii="宋体" w:hAnsi="宋体" w:cs="宋体"/>
                <w:sz w:val="24"/>
                <w:szCs w:val="24"/>
              </w:rPr>
              <w:t>条款</w:t>
            </w:r>
          </w:p>
        </w:tc>
        <w:tc>
          <w:tcPr>
            <w:tcW w:w="10596" w:type="dxa"/>
            <w:vAlign w:val="center"/>
          </w:tcPr>
          <w:p>
            <w:pPr>
              <w:rPr>
                <w:sz w:val="24"/>
                <w:szCs w:val="24"/>
              </w:rPr>
            </w:pPr>
            <w:r>
              <w:rPr>
                <w:rFonts w:hint="eastAsia"/>
                <w:sz w:val="24"/>
                <w:szCs w:val="24"/>
              </w:rPr>
              <w:t>受审核部门：管理层主管领导：赵延军(总经理)、宋保锋（管代）</w:t>
            </w:r>
            <w:r>
              <w:rPr>
                <w:rFonts w:hint="eastAsia"/>
                <w:sz w:val="24"/>
                <w:szCs w:val="24"/>
                <w:lang w:eastAsia="zh-CN"/>
              </w:rPr>
              <w:t>刘伟</w:t>
            </w:r>
            <w:r>
              <w:rPr>
                <w:rFonts w:hint="eastAsia"/>
                <w:sz w:val="24"/>
                <w:szCs w:val="24"/>
              </w:rPr>
              <w:t>（安全事务代表）陪同人员：李倩倩</w:t>
            </w:r>
          </w:p>
        </w:tc>
        <w:tc>
          <w:tcPr>
            <w:tcW w:w="993" w:type="dxa"/>
            <w:vMerge w:val="restart"/>
            <w:vAlign w:val="center"/>
          </w:tcPr>
          <w:p>
            <w:pPr>
              <w:rPr>
                <w:rFonts w:ascii="宋体" w:hAnsi="宋体" w:cs="宋体"/>
                <w:sz w:val="24"/>
                <w:szCs w:val="24"/>
              </w:rPr>
            </w:pPr>
            <w:r>
              <w:rPr>
                <w:rFonts w:hint="eastAsia" w:ascii="宋体" w:hAnsi="宋体"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35" w:type="dxa"/>
            <w:vMerge w:val="continue"/>
            <w:vAlign w:val="center"/>
          </w:tcPr>
          <w:p>
            <w:pPr>
              <w:rPr>
                <w:rFonts w:ascii="宋体" w:hAnsi="宋体" w:cs="宋体"/>
              </w:rPr>
            </w:pPr>
          </w:p>
        </w:tc>
        <w:tc>
          <w:tcPr>
            <w:tcW w:w="885" w:type="dxa"/>
            <w:vMerge w:val="continue"/>
            <w:vAlign w:val="center"/>
          </w:tcPr>
          <w:p>
            <w:pPr>
              <w:rPr>
                <w:rFonts w:ascii="宋体" w:hAnsi="宋体" w:cs="宋体"/>
              </w:rPr>
            </w:pPr>
          </w:p>
        </w:tc>
        <w:tc>
          <w:tcPr>
            <w:tcW w:w="10596" w:type="dxa"/>
            <w:vAlign w:val="center"/>
          </w:tcPr>
          <w:p>
            <w:pPr>
              <w:spacing w:before="120"/>
              <w:rPr>
                <w:rFonts w:hint="default" w:eastAsia="宋体"/>
                <w:lang w:val="en-US" w:eastAsia="zh-CN"/>
              </w:rPr>
            </w:pPr>
            <w:r>
              <w:rPr>
                <w:rFonts w:hint="eastAsia"/>
                <w:sz w:val="24"/>
                <w:szCs w:val="24"/>
              </w:rPr>
              <w:t xml:space="preserve">审核员：李凤仪 </w:t>
            </w:r>
            <w:r>
              <w:rPr>
                <w:rFonts w:hint="eastAsia"/>
                <w:sz w:val="24"/>
                <w:szCs w:val="24"/>
                <w:lang w:val="en-US" w:eastAsia="zh-CN"/>
              </w:rPr>
              <w:t xml:space="preserve">   安涛（专家）</w:t>
            </w:r>
            <w:r>
              <w:rPr>
                <w:rFonts w:hint="eastAsia"/>
                <w:sz w:val="24"/>
                <w:szCs w:val="24"/>
              </w:rPr>
              <w:t xml:space="preserve"> 审核时间：202</w:t>
            </w:r>
            <w:r>
              <w:rPr>
                <w:rFonts w:hint="eastAsia"/>
                <w:sz w:val="24"/>
                <w:szCs w:val="24"/>
                <w:lang w:val="en-US" w:eastAsia="zh-CN"/>
              </w:rPr>
              <w:t>1</w:t>
            </w:r>
            <w:r>
              <w:rPr>
                <w:rFonts w:hint="eastAsia"/>
                <w:sz w:val="24"/>
                <w:szCs w:val="24"/>
              </w:rPr>
              <w:t>.</w:t>
            </w:r>
            <w:r>
              <w:rPr>
                <w:rFonts w:hint="eastAsia"/>
                <w:sz w:val="24"/>
                <w:szCs w:val="24"/>
                <w:lang w:val="en-US" w:eastAsia="zh-CN"/>
              </w:rPr>
              <w:t>3</w:t>
            </w:r>
            <w:r>
              <w:rPr>
                <w:rFonts w:hint="eastAsia"/>
                <w:sz w:val="24"/>
                <w:szCs w:val="24"/>
              </w:rPr>
              <w:t>.</w:t>
            </w:r>
            <w:r>
              <w:rPr>
                <w:rFonts w:hint="eastAsia"/>
                <w:sz w:val="24"/>
                <w:szCs w:val="24"/>
                <w:lang w:val="en-US" w:eastAsia="zh-CN"/>
              </w:rPr>
              <w:t>25</w:t>
            </w:r>
          </w:p>
        </w:tc>
        <w:tc>
          <w:tcPr>
            <w:tcW w:w="993" w:type="dxa"/>
            <w:vMerge w:val="continue"/>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2235" w:type="dxa"/>
            <w:vMerge w:val="continue"/>
            <w:vAlign w:val="center"/>
          </w:tcPr>
          <w:p>
            <w:pPr>
              <w:rPr>
                <w:rFonts w:ascii="宋体" w:hAnsi="宋体" w:cs="宋体"/>
              </w:rPr>
            </w:pPr>
          </w:p>
        </w:tc>
        <w:tc>
          <w:tcPr>
            <w:tcW w:w="885" w:type="dxa"/>
            <w:vMerge w:val="continue"/>
            <w:vAlign w:val="center"/>
          </w:tcPr>
          <w:p>
            <w:pPr>
              <w:rPr>
                <w:rFonts w:ascii="宋体" w:hAnsi="宋体" w:cs="宋体"/>
              </w:rPr>
            </w:pPr>
          </w:p>
        </w:tc>
        <w:tc>
          <w:tcPr>
            <w:tcW w:w="10596" w:type="dxa"/>
            <w:vAlign w:val="center"/>
          </w:tcPr>
          <w:p>
            <w:pPr>
              <w:spacing w:line="300" w:lineRule="exact"/>
              <w:rPr>
                <w:rFonts w:ascii="宋体" w:hAnsi="宋体"/>
                <w:b/>
                <w:bCs/>
                <w:szCs w:val="21"/>
              </w:rPr>
            </w:pPr>
            <w:r>
              <w:rPr>
                <w:rFonts w:hint="eastAsia"/>
                <w:sz w:val="24"/>
                <w:szCs w:val="24"/>
              </w:rPr>
              <w:t>审核条款</w:t>
            </w:r>
            <w:r>
              <w:rPr>
                <w:rFonts w:hint="eastAsia" w:ascii="楷体_GB2312" w:eastAsia="楷体_GB2312"/>
                <w:szCs w:val="21"/>
              </w:rPr>
              <w:t xml:space="preserve"> </w:t>
            </w:r>
            <w:r>
              <w:rPr>
                <w:rFonts w:hint="eastAsia" w:ascii="宋体" w:hAnsi="宋体"/>
                <w:b/>
                <w:bCs/>
                <w:szCs w:val="21"/>
              </w:rPr>
              <w:t>Q：4.1、4.2、4.3、4.4、5.1、5.2、5.3、6.1、6.2、6.3、7.1.1、9</w:t>
            </w:r>
            <w:r>
              <w:rPr>
                <w:rFonts w:ascii="宋体" w:hAnsi="宋体"/>
                <w:b/>
                <w:bCs/>
                <w:szCs w:val="21"/>
              </w:rPr>
              <w:t>.1.1</w:t>
            </w:r>
            <w:r>
              <w:rPr>
                <w:rFonts w:hint="eastAsia" w:ascii="宋体" w:hAnsi="宋体"/>
                <w:b/>
                <w:bCs/>
                <w:szCs w:val="21"/>
              </w:rPr>
              <w:t>、9.3、10.1、10.3</w:t>
            </w:r>
          </w:p>
          <w:p>
            <w:pPr>
              <w:spacing w:line="300" w:lineRule="exact"/>
              <w:rPr>
                <w:rFonts w:ascii="宋体" w:hAnsi="宋体"/>
                <w:b/>
                <w:sz w:val="18"/>
                <w:szCs w:val="18"/>
              </w:rPr>
            </w:pPr>
            <w:r>
              <w:rPr>
                <w:rFonts w:hint="eastAsia" w:ascii="宋体" w:hAnsi="宋体"/>
                <w:b/>
                <w:bCs/>
                <w:szCs w:val="21"/>
              </w:rPr>
              <w:t>S：4.1、4.2、4.3、4.4、5.1、5.2、5.3、5.4、6.1、6.2、7.1、9</w:t>
            </w:r>
            <w:r>
              <w:rPr>
                <w:rFonts w:ascii="宋体" w:hAnsi="宋体"/>
                <w:b/>
                <w:bCs/>
                <w:szCs w:val="21"/>
              </w:rPr>
              <w:t>.1.1</w:t>
            </w:r>
            <w:r>
              <w:rPr>
                <w:rFonts w:hint="eastAsia" w:ascii="宋体" w:hAnsi="宋体"/>
                <w:b/>
                <w:bCs/>
                <w:szCs w:val="21"/>
              </w:rPr>
              <w:t>、9.3、10.1、10.3</w:t>
            </w:r>
            <w:r>
              <w:rPr>
                <w:rFonts w:hint="eastAsia" w:ascii="宋体" w:hAnsi="宋体"/>
                <w:b/>
                <w:sz w:val="18"/>
                <w:szCs w:val="18"/>
              </w:rPr>
              <w:t>标准/规范/法规的执行情况、上次审核不符合项的验证、认证证书、标志的使用情况、投诉或事故、监督抽查情况、体系变动</w:t>
            </w:r>
          </w:p>
        </w:tc>
        <w:tc>
          <w:tcPr>
            <w:tcW w:w="993" w:type="dxa"/>
            <w:vMerge w:val="continue"/>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235" w:type="dxa"/>
          </w:tcPr>
          <w:p>
            <w:r>
              <w:rPr>
                <w:rFonts w:hint="eastAsia"/>
              </w:rPr>
              <w:t>理解组织及其环境</w:t>
            </w:r>
          </w:p>
          <w:p>
            <w:r>
              <w:rPr>
                <w:rFonts w:hint="eastAsia"/>
              </w:rPr>
              <w:t>总要求</w:t>
            </w:r>
          </w:p>
        </w:tc>
        <w:tc>
          <w:tcPr>
            <w:tcW w:w="885" w:type="dxa"/>
          </w:tcPr>
          <w:p>
            <w:r>
              <w:rPr>
                <w:rFonts w:hint="eastAsia"/>
              </w:rPr>
              <w:t>Q</w:t>
            </w:r>
            <w:r>
              <w:t>4.1</w:t>
            </w:r>
          </w:p>
          <w:p>
            <w:r>
              <w:rPr>
                <w:rFonts w:hint="eastAsia"/>
              </w:rPr>
              <w:t>S4.1</w:t>
            </w:r>
          </w:p>
        </w:tc>
        <w:tc>
          <w:tcPr>
            <w:tcW w:w="10596" w:type="dxa"/>
          </w:tcPr>
          <w:p>
            <w:pPr>
              <w:overflowPunct w:val="0"/>
              <w:spacing w:line="276" w:lineRule="auto"/>
              <w:ind w:firstLine="420" w:firstLineChars="200"/>
            </w:pPr>
            <w:r>
              <w:rPr>
                <w:rFonts w:hint="eastAsia"/>
              </w:rPr>
              <w:t>总经理赵延军介绍，2020年4月起担任公司总经理，甘肃省水利水电工程局有限责任公司金属结构分公司是甘肃省水利水电工程局下属的水工金属结构制造与安装企业。成立于1969年12月，拥有雄厚的技术力量、先进的施工设备、科学的监测手段和现代化的管理能力，主要经营水利水电工程中的各类型压务钢管、闸门、拦污栅、启闲机等水工金属结构产品的加工制作等生产设施。我公司拥有固定资产500.28万元，总占地面积14000M2，生产房屋建筑面积4041M2，</w:t>
            </w:r>
          </w:p>
          <w:p>
            <w:pPr>
              <w:overflowPunct w:val="0"/>
              <w:spacing w:line="276" w:lineRule="auto"/>
            </w:pPr>
            <w:r>
              <w:rPr>
                <w:rFonts w:hint="eastAsia"/>
              </w:rPr>
              <w:t>总经理介绍：</w:t>
            </w:r>
          </w:p>
          <w:p>
            <w:pPr>
              <w:overflowPunct w:val="0"/>
              <w:spacing w:line="276" w:lineRule="auto"/>
            </w:pPr>
            <w:r>
              <w:rPr>
                <w:rFonts w:hint="eastAsia"/>
              </w:rPr>
              <w:t>我们的目标是:努力成为所有用户最满意的销售服务提供商，我们相信有您的支持我们会做的更好。</w:t>
            </w:r>
          </w:p>
          <w:p>
            <w:pPr>
              <w:overflowPunct w:val="0"/>
              <w:spacing w:line="276" w:lineRule="auto"/>
            </w:pPr>
            <w:r>
              <w:rPr>
                <w:rFonts w:hint="eastAsia"/>
              </w:rPr>
              <w:t>我们的理念:“诚信为本、实力为先，全心全意为客户”，我们公司秉承客户至上、服务至上的经营理念，以卓越的服务品质、专业的销售服务实力、技术精湛的客户服务团队，保障客户使用产品上安全放心。</w:t>
            </w:r>
          </w:p>
          <w:p>
            <w:pPr>
              <w:overflowPunct w:val="0"/>
              <w:spacing w:line="276" w:lineRule="auto"/>
            </w:pPr>
            <w:r>
              <w:rPr>
                <w:rFonts w:hint="eastAsia"/>
              </w:rPr>
              <w:t>总经理确定与本公司质量、环境、职业健康安全目标和战略方向相关并影响实现质量、环境、职业健康安全管理体系预期结果的各种内部因素（公司的价值观、文化、知识、绩效等相关因素）和外部因素（国际、国家、地区和当地的各种法律法规、技术、竞争、文化和社会因素等）。这些因素包括了需要考虑的正面和负面因素或条件。</w:t>
            </w:r>
          </w:p>
          <w:p>
            <w:pPr>
              <w:overflowPunct w:val="0"/>
              <w:spacing w:line="276" w:lineRule="auto"/>
              <w:ind w:firstLine="420" w:firstLineChars="200"/>
              <w:rPr>
                <w:szCs w:val="21"/>
              </w:rPr>
            </w:pPr>
            <w:r>
              <w:rPr>
                <w:rFonts w:hint="eastAsia"/>
              </w:rPr>
              <w:t>公司依托总公司甘肃省水利水电工程局有限责任公司支持销售。另开发新市场、客户、依靠网络等搜集到的信息并结合我们自身业务运作情况进行SWOT分析，通过分析对这些内部和外部因素的相关信息进行监视和评审，以确保其充分和适宜。</w:t>
            </w:r>
          </w:p>
        </w:tc>
        <w:tc>
          <w:tcPr>
            <w:tcW w:w="993"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5" w:type="dxa"/>
          </w:tcPr>
          <w:p>
            <w:pPr>
              <w:spacing w:line="276" w:lineRule="auto"/>
            </w:pPr>
          </w:p>
        </w:tc>
        <w:tc>
          <w:tcPr>
            <w:tcW w:w="885" w:type="dxa"/>
          </w:tcPr>
          <w:p>
            <w:pPr>
              <w:spacing w:line="276" w:lineRule="auto"/>
            </w:pPr>
            <w:r>
              <w:rPr>
                <w:rFonts w:hint="eastAsia"/>
              </w:rPr>
              <w:t>Q</w:t>
            </w:r>
            <w:r>
              <w:t>4.2</w:t>
            </w:r>
          </w:p>
          <w:p>
            <w:pPr>
              <w:spacing w:line="276" w:lineRule="auto"/>
            </w:pPr>
            <w:r>
              <w:rPr>
                <w:rFonts w:hint="eastAsia"/>
              </w:rPr>
              <w:t>S4.2</w:t>
            </w:r>
          </w:p>
        </w:tc>
        <w:tc>
          <w:tcPr>
            <w:tcW w:w="10596" w:type="dxa"/>
          </w:tcPr>
          <w:p>
            <w:pPr>
              <w:overflowPunct w:val="0"/>
              <w:spacing w:line="276" w:lineRule="auto"/>
            </w:pPr>
            <w:r>
              <w:rPr>
                <w:rFonts w:hint="eastAsia"/>
              </w:rPr>
              <w:t>公司识别的相关方有：客户、供应商、员工、政府部门、合作方、竞争对手、地方协会、环保单位、周边邻居等，识别了相关方的要求，包括明示的和隐含的要求。例如：顾客对产品的要求，如符合性、价格、售后服务等，在销售合同中体现。与外部供方签订合同或施加环境影响，明确了相应的职责、环境及安全要求、承担的合规义务等。</w:t>
            </w:r>
          </w:p>
          <w:p>
            <w:pPr>
              <w:overflowPunct w:val="0"/>
              <w:spacing w:line="276" w:lineRule="auto"/>
            </w:pPr>
            <w:r>
              <w:rPr>
                <w:rFonts w:hint="eastAsia"/>
              </w:rPr>
              <w:t>收集了国家相关行业标准、质量及安全法律法规等，并进行了合规性评价，相关方可获取。</w:t>
            </w:r>
          </w:p>
          <w:p>
            <w:pPr>
              <w:overflowPunct w:val="0"/>
              <w:spacing w:line="276" w:lineRule="auto"/>
            </w:pPr>
            <w:r>
              <w:rPr>
                <w:rFonts w:hint="eastAsia"/>
              </w:rPr>
              <w:t>通过对顾客满意度调查、定期评价法律法规适宜性、执行合同义务、环境及安全目标监测、环境/安全事故监测，以便理解和满足相关方要求和顾客满意度的需求和期望，增强环保安全意识。</w:t>
            </w:r>
          </w:p>
        </w:tc>
        <w:tc>
          <w:tcPr>
            <w:tcW w:w="993"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35" w:type="dxa"/>
          </w:tcPr>
          <w:p>
            <w:pPr>
              <w:spacing w:line="276" w:lineRule="auto"/>
            </w:pPr>
            <w:r>
              <w:rPr>
                <w:rFonts w:hint="eastAsia"/>
              </w:rPr>
              <w:t>确定质量管理体系的范围</w:t>
            </w:r>
          </w:p>
          <w:p>
            <w:pPr>
              <w:spacing w:line="276" w:lineRule="auto"/>
            </w:pPr>
            <w:r>
              <w:rPr>
                <w:rFonts w:hint="eastAsia"/>
              </w:rPr>
              <w:t>总要求</w:t>
            </w:r>
          </w:p>
        </w:tc>
        <w:tc>
          <w:tcPr>
            <w:tcW w:w="885" w:type="dxa"/>
          </w:tcPr>
          <w:p>
            <w:pPr>
              <w:spacing w:line="276" w:lineRule="auto"/>
            </w:pPr>
            <w:r>
              <w:t>Q4.3</w:t>
            </w:r>
          </w:p>
          <w:p>
            <w:pPr>
              <w:spacing w:line="276" w:lineRule="auto"/>
            </w:pPr>
            <w:r>
              <w:t>S4.</w:t>
            </w:r>
            <w:r>
              <w:rPr>
                <w:rFonts w:hint="eastAsia"/>
              </w:rPr>
              <w:t>3</w:t>
            </w:r>
          </w:p>
        </w:tc>
        <w:tc>
          <w:tcPr>
            <w:tcW w:w="10596" w:type="dxa"/>
          </w:tcPr>
          <w:p>
            <w:pPr>
              <w:overflowPunct w:val="0"/>
              <w:spacing w:line="276" w:lineRule="auto"/>
            </w:pPr>
            <w:r>
              <w:rPr>
                <w:rFonts w:hint="eastAsia"/>
              </w:rPr>
              <w:t>在确定质量、环境、职业健康安全管理体系范围时，公司考虑：</w:t>
            </w:r>
          </w:p>
          <w:p>
            <w:pPr>
              <w:overflowPunct w:val="0"/>
              <w:spacing w:line="276" w:lineRule="auto"/>
            </w:pPr>
            <w:r>
              <w:rPr>
                <w:rFonts w:hint="eastAsia"/>
              </w:rPr>
              <w:t>a各种内部和外部因素；</w:t>
            </w:r>
          </w:p>
          <w:p>
            <w:pPr>
              <w:overflowPunct w:val="0"/>
              <w:spacing w:line="276" w:lineRule="auto"/>
            </w:pPr>
            <w:r>
              <w:rPr>
                <w:rFonts w:hint="eastAsia"/>
              </w:rPr>
              <w:t>b相关方的要求，包括相关合规义务；</w:t>
            </w:r>
          </w:p>
          <w:p>
            <w:pPr>
              <w:overflowPunct w:val="0"/>
              <w:spacing w:line="276" w:lineRule="auto"/>
            </w:pPr>
            <w:r>
              <w:rPr>
                <w:rFonts w:hint="eastAsia"/>
              </w:rPr>
              <w:t>c组织的活动、产品和服务；</w:t>
            </w:r>
          </w:p>
          <w:p>
            <w:pPr>
              <w:overflowPunct w:val="0"/>
              <w:spacing w:line="276" w:lineRule="auto"/>
            </w:pPr>
            <w:r>
              <w:rPr>
                <w:rFonts w:hint="eastAsia"/>
              </w:rPr>
              <w:t>d其组织单元、职能和物理边界。</w:t>
            </w:r>
          </w:p>
          <w:p>
            <w:pPr>
              <w:overflowPunct w:val="0"/>
              <w:spacing w:line="276" w:lineRule="auto"/>
            </w:pPr>
            <w:r>
              <w:rPr>
                <w:rFonts w:hint="eastAsia"/>
              </w:rPr>
              <w:t>公司质量、环境、职业健康安全管理体系的范围为：</w:t>
            </w:r>
          </w:p>
          <w:p>
            <w:pPr>
              <w:overflowPunct w:val="0"/>
              <w:spacing w:line="276" w:lineRule="auto"/>
            </w:pPr>
            <w:r>
              <w:rPr>
                <w:rFonts w:hint="eastAsia"/>
              </w:rPr>
              <w:t>QMS:资质范围内水工金属结构件的生产</w:t>
            </w:r>
          </w:p>
          <w:p>
            <w:pPr>
              <w:overflowPunct w:val="0"/>
              <w:spacing w:line="276" w:lineRule="auto"/>
            </w:pPr>
            <w:r>
              <w:rPr>
                <w:rFonts w:hint="eastAsia"/>
              </w:rPr>
              <w:t>OHSMS  :资质范围内水工金属结构件的生产及办公相关职业健康安全管理活动</w:t>
            </w:r>
          </w:p>
          <w:p>
            <w:pPr>
              <w:overflowPunct w:val="0"/>
              <w:spacing w:line="276" w:lineRule="auto"/>
            </w:pPr>
            <w:r>
              <w:rPr>
                <w:rFonts w:hint="eastAsia"/>
              </w:rPr>
              <w:t>公司现有员工</w:t>
            </w:r>
            <w:r>
              <w:t>30</w:t>
            </w:r>
            <w:r>
              <w:rPr>
                <w:rFonts w:hint="eastAsia"/>
              </w:rPr>
              <w:t>人；该公司位于注册地、经营地均为：甘肃省白银市景泰县一条山镇705北路</w:t>
            </w:r>
          </w:p>
          <w:p>
            <w:pPr>
              <w:overflowPunct w:val="0"/>
              <w:spacing w:line="276" w:lineRule="auto"/>
            </w:pPr>
            <w:r>
              <w:rPr>
                <w:rFonts w:hint="eastAsia"/>
              </w:rPr>
              <w:t>公司所生产的产品为定型产品，确定了Q8.3条款不适用；其他标准条款均并予以实施。</w:t>
            </w:r>
          </w:p>
          <w:p>
            <w:pPr>
              <w:spacing w:line="440" w:lineRule="exact"/>
              <w:rPr>
                <w:rFonts w:ascii="宋体" w:hAnsi="宋体" w:cs="宋体"/>
                <w:szCs w:val="21"/>
              </w:rPr>
            </w:pPr>
            <w:r>
              <w:rPr>
                <w:rFonts w:hint="eastAsia" w:ascii="宋体" w:hAnsi="宋体" w:cs="宋体"/>
                <w:szCs w:val="21"/>
              </w:rPr>
              <w:t>不适用理由说明：本公司产品水工金属结构钢闸门、压力钢管分别按标准GB/T 14173-2008《</w:t>
            </w:r>
            <w:r>
              <w:rPr>
                <w:rFonts w:hint="eastAsia" w:ascii="宋体" w:hAnsi="宋体" w:cs="宋体"/>
                <w:color w:val="000000"/>
                <w:szCs w:val="21"/>
                <w:shd w:val="clear" w:color="auto" w:fill="FFFFFF"/>
              </w:rPr>
              <w:t>水利水电工程钢闸门制造、安装及验收规范</w:t>
            </w:r>
            <w:r>
              <w:rPr>
                <w:rFonts w:hint="eastAsia" w:ascii="宋体" w:hAnsi="宋体" w:cs="宋体"/>
                <w:szCs w:val="21"/>
              </w:rPr>
              <w:t>》、SL432-2008《</w:t>
            </w:r>
            <w:r>
              <w:rPr>
                <w:rFonts w:hint="eastAsia" w:ascii="宋体" w:hAnsi="宋体" w:cs="宋体"/>
                <w:color w:val="000000"/>
                <w:szCs w:val="21"/>
                <w:shd w:val="clear" w:color="auto" w:fill="FFFFFF"/>
              </w:rPr>
              <w:t>水利工程压力钢管制造安装及验收规范</w:t>
            </w:r>
            <w:r>
              <w:rPr>
                <w:rFonts w:hint="eastAsia" w:ascii="宋体" w:hAnsi="宋体" w:cs="宋体"/>
                <w:szCs w:val="21"/>
              </w:rPr>
              <w:t>》进行生产，不涉及8.3条“产品和服务的设计和开发”，故此删去本章节，删减后不影响公司提供满足顾客和适用法律法规要求的产品的能力和责任。</w:t>
            </w:r>
            <w:r>
              <w:rPr>
                <w:rFonts w:hint="eastAsia"/>
              </w:rPr>
              <w:t>企业的外包过程为金属结构件的防腐过程。</w:t>
            </w:r>
          </w:p>
        </w:tc>
        <w:tc>
          <w:tcPr>
            <w:tcW w:w="993"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235" w:type="dxa"/>
          </w:tcPr>
          <w:p>
            <w:pPr>
              <w:rPr>
                <w:rFonts w:ascii="宋体" w:hAnsi="宋体" w:cs="宋体"/>
              </w:rPr>
            </w:pPr>
            <w:r>
              <w:rPr>
                <w:rFonts w:hint="eastAsia" w:ascii="宋体" w:hAnsi="宋体" w:cs="宋体"/>
              </w:rPr>
              <w:t>管理体系及其过程</w:t>
            </w:r>
          </w:p>
          <w:p>
            <w:pPr>
              <w:rPr>
                <w:rFonts w:ascii="宋体" w:hAnsi="宋体" w:cs="宋体"/>
              </w:rPr>
            </w:pPr>
          </w:p>
        </w:tc>
        <w:tc>
          <w:tcPr>
            <w:tcW w:w="885" w:type="dxa"/>
          </w:tcPr>
          <w:p>
            <w:pPr>
              <w:rPr>
                <w:rFonts w:ascii="宋体" w:hAnsi="宋体" w:cs="宋体"/>
              </w:rPr>
            </w:pPr>
            <w:r>
              <w:rPr>
                <w:rFonts w:hint="eastAsia" w:ascii="宋体" w:hAnsi="宋体" w:cs="宋体"/>
              </w:rPr>
              <w:t>Q</w:t>
            </w:r>
            <w:r>
              <w:rPr>
                <w:rFonts w:ascii="宋体" w:hAnsi="宋体" w:cs="宋体"/>
              </w:rPr>
              <w:t>4.4</w:t>
            </w:r>
          </w:p>
          <w:p>
            <w:pPr>
              <w:rPr>
                <w:rFonts w:ascii="宋体" w:hAnsi="宋体" w:cs="宋体"/>
              </w:rPr>
            </w:pPr>
            <w:r>
              <w:rPr>
                <w:rFonts w:hint="eastAsia" w:ascii="宋体" w:hAnsi="宋体" w:cs="宋体"/>
              </w:rPr>
              <w:t>S</w:t>
            </w:r>
            <w:r>
              <w:rPr>
                <w:rFonts w:ascii="宋体" w:hAnsi="宋体" w:cs="宋体"/>
              </w:rPr>
              <w:t>4.</w:t>
            </w:r>
            <w:r>
              <w:rPr>
                <w:rFonts w:hint="eastAsia" w:ascii="宋体" w:hAnsi="宋体" w:cs="宋体"/>
              </w:rPr>
              <w:t>4</w:t>
            </w:r>
          </w:p>
        </w:tc>
        <w:tc>
          <w:tcPr>
            <w:tcW w:w="10596" w:type="dxa"/>
          </w:tcPr>
          <w:p>
            <w:pPr>
              <w:ind w:firstLine="420" w:firstLineChars="200"/>
            </w:pPr>
            <w:r>
              <w:rPr>
                <w:rFonts w:hint="eastAsia"/>
              </w:rPr>
              <w:t>组织依据：GB/T19001-2016和ISO45001-2018标准建立并正式实施管理体系。同时根据自身的实际情况和标准的要求组织工作人员编制了管理手册、作业文件和记录表格，制定了管理方针和管理目标。通过对过程监测结果进行分析，公司管理体系不断改进。</w:t>
            </w:r>
          </w:p>
          <w:p>
            <w:r>
              <w:rPr>
                <w:rFonts w:hint="eastAsia"/>
              </w:rPr>
              <w:t>确定了管理体系所需的过程，如文件与记录管理过程、合同评审过程、销售过程，并明确各过程的目标和职责，及各过程之间的衔接和影响。</w:t>
            </w:r>
          </w:p>
          <w:p>
            <w:pPr>
              <w:ind w:firstLine="420" w:firstLineChars="200"/>
            </w:pPr>
            <w:r>
              <w:rPr>
                <w:rFonts w:hint="eastAsia"/>
              </w:rPr>
              <w:t>出示有“部门质量目标策划记录”对管理目标完成情况进行检查、统计、记录。</w:t>
            </w:r>
          </w:p>
          <w:p>
            <w:r>
              <w:rPr>
                <w:rFonts w:hint="eastAsia"/>
              </w:rPr>
              <w:t>提供了支持过程策划和运行的形成文件的信息。</w:t>
            </w:r>
          </w:p>
        </w:tc>
        <w:tc>
          <w:tcPr>
            <w:tcW w:w="993"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235" w:type="dxa"/>
            <w:vAlign w:val="center"/>
          </w:tcPr>
          <w:p>
            <w:pPr>
              <w:rPr>
                <w:b/>
              </w:rPr>
            </w:pPr>
            <w:r>
              <w:rPr>
                <w:rFonts w:hint="eastAsia"/>
                <w:b/>
              </w:rPr>
              <w:t>领导作用和承诺</w:t>
            </w:r>
          </w:p>
          <w:p>
            <w:pPr>
              <w:rPr>
                <w:b/>
              </w:rPr>
            </w:pPr>
          </w:p>
          <w:p>
            <w:pPr>
              <w:rPr>
                <w:b/>
              </w:rPr>
            </w:pPr>
            <w:r>
              <w:rPr>
                <w:rFonts w:hint="eastAsia"/>
                <w:b/>
              </w:rPr>
              <w:t>总则</w:t>
            </w:r>
          </w:p>
        </w:tc>
        <w:tc>
          <w:tcPr>
            <w:tcW w:w="885" w:type="dxa"/>
            <w:vAlign w:val="center"/>
          </w:tcPr>
          <w:p>
            <w:pPr>
              <w:rPr>
                <w:b/>
              </w:rPr>
            </w:pPr>
            <w:r>
              <w:rPr>
                <w:rFonts w:hint="eastAsia"/>
                <w:b/>
              </w:rPr>
              <w:t>Q5.1.1</w:t>
            </w:r>
          </w:p>
          <w:p>
            <w:pPr>
              <w:rPr>
                <w:b/>
              </w:rPr>
            </w:pPr>
            <w:r>
              <w:rPr>
                <w:rFonts w:hint="eastAsia"/>
                <w:b/>
              </w:rPr>
              <w:t>S5.1</w:t>
            </w:r>
          </w:p>
        </w:tc>
        <w:tc>
          <w:tcPr>
            <w:tcW w:w="10596" w:type="dxa"/>
            <w:vAlign w:val="center"/>
          </w:tcPr>
          <w:p>
            <w:pPr>
              <w:ind w:firstLine="422" w:firstLineChars="200"/>
              <w:rPr>
                <w:b/>
              </w:rPr>
            </w:pPr>
            <w:r>
              <w:rPr>
                <w:rFonts w:hint="eastAsia"/>
                <w:b/>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一致管理方针、管理目标的制定，应与组织环境相适应，与战略方向一致；为确保管理体系所需的资源（包括人力、设备、软件、技术和信息等）确保管理体系实现期望的结果；督促人员积极参与、指导和支持员工为管理体系的有效性做出贡献；支持相关管理者在其职责范围内发挥领导作用，推动改进等。领导作用和承诺充分明确，基本符合标准要求。</w:t>
            </w:r>
          </w:p>
          <w:p>
            <w:pPr>
              <w:ind w:firstLine="422" w:firstLineChars="200"/>
              <w:rPr>
                <w:b/>
              </w:rPr>
            </w:pPr>
            <w:r>
              <w:rPr>
                <w:rFonts w:hint="eastAsia"/>
                <w:b/>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2235" w:type="dxa"/>
            <w:vAlign w:val="center"/>
          </w:tcPr>
          <w:p>
            <w:pPr>
              <w:rPr>
                <w:b/>
              </w:rPr>
            </w:pPr>
            <w:r>
              <w:rPr>
                <w:rFonts w:hint="eastAsia"/>
                <w:b/>
              </w:rPr>
              <w:t>以顾客为关注焦点</w:t>
            </w:r>
          </w:p>
        </w:tc>
        <w:tc>
          <w:tcPr>
            <w:tcW w:w="885" w:type="dxa"/>
            <w:vAlign w:val="center"/>
          </w:tcPr>
          <w:p>
            <w:pPr>
              <w:rPr>
                <w:b/>
              </w:rPr>
            </w:pPr>
            <w:r>
              <w:rPr>
                <w:b/>
              </w:rPr>
              <w:t>Q</w:t>
            </w:r>
            <w:r>
              <w:rPr>
                <w:rFonts w:hint="eastAsia"/>
                <w:b/>
              </w:rPr>
              <w:t>5.1.2</w:t>
            </w:r>
          </w:p>
        </w:tc>
        <w:tc>
          <w:tcPr>
            <w:tcW w:w="10596" w:type="dxa"/>
            <w:vAlign w:val="center"/>
          </w:tcPr>
          <w:p>
            <w:pPr>
              <w:rPr>
                <w:b/>
              </w:rPr>
            </w:pPr>
            <w:r>
              <w:rPr>
                <w:rFonts w:hint="eastAsia"/>
                <w:b/>
              </w:rPr>
              <w:t>公司通过投标、市场调研等方式了解顾客的需求，确定顾客关心的产品特性，特别是产品的关键特性。通过定期对顾客满意度进行测量、售后服务了解顾客对产品的意见。</w:t>
            </w:r>
          </w:p>
          <w:p>
            <w:pPr>
              <w:ind w:firstLine="422" w:firstLineChars="200"/>
              <w:rPr>
                <w:b/>
              </w:rPr>
            </w:pPr>
            <w:r>
              <w:rPr>
                <w:rFonts w:hint="eastAsia"/>
                <w:b/>
              </w:rPr>
              <w:t>在确定顾客的需求和期望时，公司同时考虑与产品有关的义务（如安全的责任、环境保护要求等）和法律法规要求，并采取措施，使其得到落实。</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5" w:type="dxa"/>
            <w:vAlign w:val="center"/>
          </w:tcPr>
          <w:p>
            <w:pPr>
              <w:rPr>
                <w:b/>
              </w:rPr>
            </w:pPr>
            <w:r>
              <w:rPr>
                <w:rFonts w:hint="eastAsia"/>
                <w:b/>
              </w:rPr>
              <w:t>制定方针</w:t>
            </w:r>
          </w:p>
          <w:p>
            <w:pPr>
              <w:rPr>
                <w:b/>
              </w:rPr>
            </w:pPr>
            <w:r>
              <w:rPr>
                <w:rFonts w:hint="eastAsia"/>
                <w:b/>
              </w:rPr>
              <w:t>沟通方针</w:t>
            </w:r>
          </w:p>
        </w:tc>
        <w:tc>
          <w:tcPr>
            <w:tcW w:w="885" w:type="dxa"/>
            <w:vAlign w:val="center"/>
          </w:tcPr>
          <w:p>
            <w:pPr>
              <w:rPr>
                <w:b/>
              </w:rPr>
            </w:pPr>
            <w:r>
              <w:rPr>
                <w:b/>
              </w:rPr>
              <w:t>Q</w:t>
            </w:r>
          </w:p>
          <w:p>
            <w:pPr>
              <w:rPr>
                <w:b/>
              </w:rPr>
            </w:pPr>
            <w:r>
              <w:rPr>
                <w:b/>
              </w:rPr>
              <w:t>5.2</w:t>
            </w:r>
          </w:p>
          <w:p>
            <w:pPr>
              <w:rPr>
                <w:b/>
              </w:rPr>
            </w:pPr>
            <w:r>
              <w:rPr>
                <w:b/>
              </w:rPr>
              <w:t>S</w:t>
            </w:r>
            <w:r>
              <w:rPr>
                <w:rFonts w:hint="eastAsia"/>
                <w:b/>
              </w:rPr>
              <w:t>5.2</w:t>
            </w:r>
          </w:p>
        </w:tc>
        <w:tc>
          <w:tcPr>
            <w:tcW w:w="10596" w:type="dxa"/>
            <w:vAlign w:val="center"/>
          </w:tcPr>
          <w:p>
            <w:pPr>
              <w:ind w:firstLine="422" w:firstLineChars="200"/>
              <w:rPr>
                <w:b/>
              </w:rPr>
            </w:pPr>
            <w:r>
              <w:rPr>
                <w:rFonts w:hint="eastAsia"/>
                <w:b/>
              </w:rPr>
              <w:t>经充分考虑本组织特点，本组织质量安全管理方针为：</w:t>
            </w:r>
          </w:p>
          <w:p>
            <w:pPr>
              <w:rPr>
                <w:b/>
              </w:rPr>
            </w:pPr>
            <w:r>
              <w:rPr>
                <w:rFonts w:hint="eastAsia"/>
                <w:b/>
              </w:rPr>
              <w:t>关注顾客需求确保产品符合要求</w:t>
            </w:r>
          </w:p>
          <w:p>
            <w:pPr>
              <w:rPr>
                <w:b/>
              </w:rPr>
            </w:pPr>
            <w:r>
              <w:rPr>
                <w:rFonts w:hint="eastAsia"/>
                <w:b/>
              </w:rPr>
              <w:t>提高环境意识确保实现污染预防</w:t>
            </w:r>
          </w:p>
          <w:p>
            <w:pPr>
              <w:ind w:firstLine="1054" w:firstLineChars="500"/>
              <w:rPr>
                <w:b/>
              </w:rPr>
            </w:pPr>
            <w:r>
              <w:rPr>
                <w:rFonts w:hint="eastAsia"/>
                <w:b/>
              </w:rPr>
              <w:t>坚持人本管理确保员工健康安全</w:t>
            </w:r>
          </w:p>
          <w:p>
            <w:pPr>
              <w:ind w:firstLine="1054" w:firstLineChars="500"/>
              <w:rPr>
                <w:b/>
              </w:rPr>
            </w:pPr>
            <w:r>
              <w:rPr>
                <w:rFonts w:hint="eastAsia"/>
                <w:b/>
              </w:rPr>
              <w:t>严守法律法规确保持续改进绩效</w:t>
            </w:r>
          </w:p>
          <w:p>
            <w:pPr>
              <w:ind w:firstLine="413" w:firstLineChars="196"/>
              <w:rPr>
                <w:b/>
              </w:rPr>
            </w:pPr>
            <w:r>
              <w:rPr>
                <w:rFonts w:hint="eastAsia"/>
                <w:b/>
              </w:rPr>
              <w:t>公司通过各种宣传方式，将QS方针宣传到本公司各层次，确保方针得到正确的理解和实施。</w:t>
            </w:r>
          </w:p>
          <w:p>
            <w:pPr>
              <w:rPr>
                <w:b/>
              </w:rPr>
            </w:pPr>
            <w:r>
              <w:rPr>
                <w:rFonts w:hint="eastAsia"/>
                <w:b/>
              </w:rPr>
              <w:t>在每次管理评审会议上，总经理组织对方针的持续适宜性和有效性进行评审，并根据评审结果对其做出必要的调整。</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5" w:type="dxa"/>
            <w:vAlign w:val="center"/>
          </w:tcPr>
          <w:p>
            <w:pPr>
              <w:rPr>
                <w:b/>
              </w:rPr>
            </w:pPr>
            <w:r>
              <w:rPr>
                <w:rFonts w:hint="eastAsia"/>
                <w:b/>
              </w:rPr>
              <w:t>组织的岗位、职责和权限</w:t>
            </w:r>
          </w:p>
        </w:tc>
        <w:tc>
          <w:tcPr>
            <w:tcW w:w="885" w:type="dxa"/>
            <w:vAlign w:val="center"/>
          </w:tcPr>
          <w:p>
            <w:pPr>
              <w:rPr>
                <w:b/>
              </w:rPr>
            </w:pPr>
            <w:r>
              <w:rPr>
                <w:b/>
              </w:rPr>
              <w:t>Q5.3</w:t>
            </w:r>
          </w:p>
          <w:p>
            <w:pPr>
              <w:rPr>
                <w:b/>
              </w:rPr>
            </w:pPr>
            <w:r>
              <w:rPr>
                <w:b/>
              </w:rPr>
              <w:t>S</w:t>
            </w:r>
            <w:r>
              <w:rPr>
                <w:rFonts w:hint="eastAsia"/>
                <w:b/>
              </w:rPr>
              <w:t>5.35.4</w:t>
            </w:r>
          </w:p>
        </w:tc>
        <w:tc>
          <w:tcPr>
            <w:tcW w:w="10596" w:type="dxa"/>
            <w:vAlign w:val="center"/>
          </w:tcPr>
          <w:p>
            <w:pPr>
              <w:ind w:firstLine="422" w:firstLineChars="200"/>
              <w:rPr>
                <w:b/>
              </w:rPr>
            </w:pPr>
            <w:r>
              <w:rPr>
                <w:rFonts w:hint="eastAsia"/>
                <w:b/>
              </w:rPr>
              <w:t>公司设置了完善的组织结构，并规定了各级各岗位人员职责、权限和相互关系，并在公司内对各级员工进行了必要的传达。对从事与质量有关的管理、执行和验证人员规定其职责、权限及其相互关系，并书面化，以实现公司管理方针和管理目标。有效进行质量管理体系各项活动，出示了公司管理体系职能分配表。</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235" w:type="dxa"/>
            <w:vAlign w:val="center"/>
          </w:tcPr>
          <w:p>
            <w:pPr>
              <w:rPr>
                <w:b/>
              </w:rPr>
            </w:pPr>
            <w:r>
              <w:rPr>
                <w:rFonts w:hint="eastAsia"/>
                <w:b/>
              </w:rPr>
              <w:t>应对风险和机遇的措施</w:t>
            </w:r>
          </w:p>
        </w:tc>
        <w:tc>
          <w:tcPr>
            <w:tcW w:w="885" w:type="dxa"/>
            <w:vAlign w:val="center"/>
          </w:tcPr>
          <w:p>
            <w:pPr>
              <w:rPr>
                <w:b/>
              </w:rPr>
            </w:pPr>
            <w:r>
              <w:rPr>
                <w:b/>
              </w:rPr>
              <w:t>Q6.1</w:t>
            </w:r>
          </w:p>
        </w:tc>
        <w:tc>
          <w:tcPr>
            <w:tcW w:w="10596" w:type="dxa"/>
            <w:vAlign w:val="center"/>
          </w:tcPr>
          <w:p>
            <w:pPr>
              <w:ind w:firstLine="422" w:firstLineChars="200"/>
              <w:rPr>
                <w:b/>
              </w:rPr>
            </w:pPr>
            <w:r>
              <w:rPr>
                <w:rFonts w:hint="eastAsia"/>
                <w:b/>
              </w:rPr>
              <w:t>经与总经理、管代交流，公司成立多年，公司积累了大量优质和长期客户；同时鉴于资质范围内水工金属结构的生产市场竞争激烈，加上市场大环境的变化，这两年造成公司利润有所降低，公司采取做好内功，在内部加强管理的同时，提升企业资质，进一步扩大市场准入权。出示有《风险和机遇评估分析表》明确了风险和机遇事件的识别方法/途径、风险和机遇的评估方式，对识别出的风险和机遇制定有效的应对措施；并评价这些措施有效性。</w:t>
            </w:r>
          </w:p>
          <w:p>
            <w:pPr>
              <w:rPr>
                <w:b/>
              </w:rPr>
            </w:pPr>
            <w:r>
              <w:rPr>
                <w:rFonts w:hint="eastAsia"/>
                <w:b/>
              </w:rPr>
              <w:t>如：客户开发、合同评审过程风险；</w:t>
            </w:r>
          </w:p>
          <w:p>
            <w:pPr>
              <w:rPr>
                <w:b/>
              </w:rPr>
            </w:pPr>
            <w:r>
              <w:rPr>
                <w:rFonts w:hint="eastAsia"/>
                <w:b/>
              </w:rPr>
              <w:t>1.对市场需要资质范围内水工金属结构的生产等的发展趋势判断失误。2客户要求识别不完整。3未能确保能够满足客户要求就签署合。风险级别：一般风险。</w:t>
            </w:r>
          </w:p>
          <w:p>
            <w:pPr>
              <w:rPr>
                <w:b/>
              </w:rPr>
            </w:pPr>
            <w:r>
              <w:rPr>
                <w:rFonts w:hint="eastAsia"/>
                <w:b/>
              </w:rPr>
              <w:t>措施：1.对市场需求资质范围内水工金属结构的生产等的发展趋势分析应该经过反复论证。2.对客户的要求实施监视和测量。3.在确定与客户签署合同前落实合同评审事宜。相关文件：《服务要求控制程序》</w:t>
            </w:r>
          </w:p>
          <w:p>
            <w:pPr>
              <w:rPr>
                <w:b/>
              </w:rPr>
            </w:pPr>
            <w:r>
              <w:rPr>
                <w:rFonts w:hint="eastAsia"/>
                <w:b/>
              </w:rPr>
              <w:t>各部门根据本部门的活动、产品和服务过程，分析其风险和机遇，进行风险和机遇调查。</w:t>
            </w:r>
          </w:p>
          <w:p>
            <w:pPr>
              <w:rPr>
                <w:b/>
              </w:rPr>
            </w:pPr>
            <w:r>
              <w:rPr>
                <w:rFonts w:hint="eastAsia"/>
                <w:b/>
              </w:rPr>
              <w:t>资质范围内水工金属结构的生产等交付</w:t>
            </w:r>
          </w:p>
          <w:p>
            <w:pPr>
              <w:rPr>
                <w:b/>
              </w:rPr>
            </w:pPr>
            <w:r>
              <w:rPr>
                <w:rFonts w:hint="eastAsia"/>
                <w:b/>
              </w:rPr>
              <w:t>风险：1不能按时交付。2.交付的资质范围内水工金属结构的生产等不符合客户的要求</w:t>
            </w:r>
          </w:p>
          <w:p>
            <w:pPr>
              <w:rPr>
                <w:b/>
              </w:rPr>
            </w:pPr>
            <w:r>
              <w:rPr>
                <w:rFonts w:hint="eastAsia"/>
                <w:b/>
              </w:rPr>
              <w:t>措施：1生产计划管制。2.生产过程的品质控制。3.成品的品质检验。4.出货前的品质检验。</w:t>
            </w:r>
          </w:p>
          <w:p>
            <w:pPr>
              <w:rPr>
                <w:b/>
              </w:rPr>
            </w:pPr>
            <w:r>
              <w:rPr>
                <w:rFonts w:hint="eastAsia"/>
                <w:b/>
              </w:rPr>
              <w:t>相关文件：1生产规范2.《不合格品控制程序》</w:t>
            </w:r>
          </w:p>
          <w:p>
            <w:pPr>
              <w:rPr>
                <w:b/>
              </w:rPr>
            </w:pPr>
            <w:r>
              <w:rPr>
                <w:rFonts w:hint="eastAsia"/>
                <w:b/>
              </w:rPr>
              <w:t>办公室组织各部门相关人员对风险和机遇事件进行评估，确定公司的主要风险和机遇的事件，报总经理审核后确定控制措施。</w:t>
            </w:r>
          </w:p>
          <w:p>
            <w:pPr>
              <w:ind w:firstLine="422" w:firstLineChars="200"/>
              <w:rPr>
                <w:rFonts w:hint="eastAsia"/>
                <w:b/>
              </w:rPr>
            </w:pPr>
            <w:r>
              <w:rPr>
                <w:rFonts w:hint="eastAsia"/>
                <w:b/>
              </w:rPr>
              <w:t>公司于</w:t>
            </w:r>
            <w:r>
              <w:rPr>
                <w:b/>
              </w:rPr>
              <w:t>20</w:t>
            </w:r>
            <w:r>
              <w:rPr>
                <w:rFonts w:hint="eastAsia"/>
                <w:b/>
              </w:rPr>
              <w:t>2</w:t>
            </w:r>
            <w:r>
              <w:rPr>
                <w:rFonts w:hint="eastAsia"/>
                <w:b/>
                <w:lang w:val="en-US" w:eastAsia="zh-CN"/>
              </w:rPr>
              <w:t>1</w:t>
            </w:r>
            <w:r>
              <w:rPr>
                <w:b/>
              </w:rPr>
              <w:t>.</w:t>
            </w:r>
            <w:r>
              <w:rPr>
                <w:rFonts w:hint="eastAsia"/>
                <w:b/>
              </w:rPr>
              <w:t>1月</w:t>
            </w:r>
            <w:r>
              <w:rPr>
                <w:rFonts w:hint="eastAsia"/>
                <w:b/>
                <w:lang w:val="en-US" w:eastAsia="zh-CN"/>
              </w:rPr>
              <w:t>10日</w:t>
            </w:r>
            <w:r>
              <w:rPr>
                <w:rFonts w:hint="eastAsia"/>
                <w:b/>
              </w:rPr>
              <w:t>对应对风险和机遇的措施进行了评价。</w:t>
            </w:r>
          </w:p>
          <w:p>
            <w:pPr>
              <w:ind w:firstLine="482" w:firstLineChars="200"/>
              <w:rPr>
                <w:b/>
              </w:rPr>
            </w:pPr>
            <w:r>
              <w:rPr>
                <w:rFonts w:hint="eastAsia"/>
                <w:b/>
                <w:bCs/>
                <w:sz w:val="24"/>
              </w:rPr>
              <w:t>编制：</w:t>
            </w:r>
            <w:r>
              <w:rPr>
                <w:rFonts w:hint="eastAsia"/>
                <w:b/>
                <w:bCs/>
                <w:lang w:eastAsia="zh-CN"/>
              </w:rPr>
              <w:t>高俪芹</w:t>
            </w:r>
            <w:r>
              <w:rPr>
                <w:rFonts w:hint="eastAsia"/>
                <w:b/>
                <w:bCs/>
              </w:rPr>
              <w:t xml:space="preserve"> </w:t>
            </w:r>
            <w:r>
              <w:rPr>
                <w:rFonts w:hint="eastAsia"/>
                <w:b/>
                <w:bCs/>
                <w:sz w:val="24"/>
              </w:rPr>
              <w:t xml:space="preserve">     批准： </w:t>
            </w:r>
            <w:r>
              <w:rPr>
                <w:rFonts w:hint="eastAsia"/>
                <w:b/>
                <w:bCs/>
                <w:sz w:val="24"/>
                <w:lang w:eastAsia="zh-CN"/>
              </w:rPr>
              <w:t>赵延军</w:t>
            </w:r>
            <w:r>
              <w:rPr>
                <w:rFonts w:hint="eastAsia"/>
                <w:b/>
                <w:bCs/>
                <w:sz w:val="24"/>
              </w:rPr>
              <w:t xml:space="preserve">  20</w:t>
            </w:r>
            <w:r>
              <w:rPr>
                <w:rFonts w:hint="eastAsia"/>
                <w:b/>
                <w:bCs/>
                <w:sz w:val="24"/>
                <w:lang w:val="en-US" w:eastAsia="zh-CN"/>
              </w:rPr>
              <w:t>21</w:t>
            </w:r>
            <w:r>
              <w:rPr>
                <w:rFonts w:hint="eastAsia"/>
                <w:b/>
                <w:bCs/>
                <w:sz w:val="24"/>
              </w:rPr>
              <w:t>年</w:t>
            </w:r>
            <w:r>
              <w:rPr>
                <w:rFonts w:hint="eastAsia"/>
                <w:b/>
                <w:bCs/>
                <w:sz w:val="24"/>
                <w:lang w:val="en-US" w:eastAsia="zh-CN"/>
              </w:rPr>
              <w:t>1</w:t>
            </w:r>
            <w:r>
              <w:rPr>
                <w:rFonts w:hint="eastAsia"/>
                <w:b/>
                <w:bCs/>
                <w:sz w:val="24"/>
              </w:rPr>
              <w:t>月10 日</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35" w:type="dxa"/>
            <w:vAlign w:val="center"/>
          </w:tcPr>
          <w:p>
            <w:pPr>
              <w:rPr>
                <w:b/>
              </w:rPr>
            </w:pPr>
            <w:r>
              <w:rPr>
                <w:rFonts w:hint="eastAsia"/>
                <w:b/>
              </w:rPr>
              <w:t>目标及其实现的策划</w:t>
            </w:r>
          </w:p>
          <w:p>
            <w:pPr>
              <w:rPr>
                <w:b/>
              </w:rPr>
            </w:pPr>
            <w:r>
              <w:rPr>
                <w:rFonts w:hint="eastAsia"/>
                <w:b/>
              </w:rPr>
              <w:t>目标指标和管理方案</w:t>
            </w:r>
          </w:p>
        </w:tc>
        <w:tc>
          <w:tcPr>
            <w:tcW w:w="885" w:type="dxa"/>
            <w:vAlign w:val="center"/>
          </w:tcPr>
          <w:p>
            <w:pPr>
              <w:rPr>
                <w:b/>
              </w:rPr>
            </w:pPr>
            <w:r>
              <w:rPr>
                <w:b/>
              </w:rPr>
              <w:t>Q6.2</w:t>
            </w:r>
          </w:p>
          <w:p>
            <w:pPr>
              <w:rPr>
                <w:b/>
              </w:rPr>
            </w:pPr>
            <w:r>
              <w:rPr>
                <w:rFonts w:hint="eastAsia"/>
                <w:b/>
              </w:rPr>
              <w:t>S6.2</w:t>
            </w:r>
          </w:p>
        </w:tc>
        <w:tc>
          <w:tcPr>
            <w:tcW w:w="10596" w:type="dxa"/>
            <w:vAlign w:val="center"/>
          </w:tcPr>
          <w:p>
            <w:pPr>
              <w:ind w:firstLine="422" w:firstLineChars="200"/>
              <w:rPr>
                <w:b/>
              </w:rPr>
            </w:pPr>
            <w:r>
              <w:rPr>
                <w:rFonts w:hint="eastAsia"/>
                <w:b/>
              </w:rPr>
              <w:t>总经理负责组织制定公司的管理目标，并在公司各部门进行分解，制定时考虑了公司的质量过程及其风险和机遇。</w:t>
            </w:r>
          </w:p>
          <w:p>
            <w:pPr>
              <w:ind w:firstLine="422" w:firstLineChars="200"/>
              <w:rPr>
                <w:b/>
              </w:rPr>
            </w:pPr>
            <w:r>
              <w:rPr>
                <w:rFonts w:hint="eastAsia"/>
                <w:b/>
              </w:rPr>
              <w:t>2020年1-</w:t>
            </w:r>
            <w:r>
              <w:rPr>
                <w:rFonts w:hint="eastAsia"/>
                <w:b/>
                <w:lang w:val="en-US" w:eastAsia="zh-CN"/>
              </w:rPr>
              <w:t>12</w:t>
            </w:r>
            <w:r>
              <w:rPr>
                <w:rFonts w:hint="eastAsia"/>
                <w:b/>
              </w:rPr>
              <w:t>月份目标                                 考核情况</w:t>
            </w:r>
          </w:p>
          <w:p>
            <w:pPr>
              <w:rPr>
                <w:b/>
              </w:rPr>
            </w:pPr>
            <w:r>
              <w:rPr>
                <w:rFonts w:hint="eastAsia"/>
                <w:b/>
              </w:rPr>
              <w:t>顾客满意度：≥90％</w:t>
            </w:r>
            <w:r>
              <w:rPr>
                <w:b/>
              </w:rPr>
              <w:t xml:space="preserve">  </w:t>
            </w:r>
            <w:r>
              <w:rPr>
                <w:rFonts w:hint="eastAsia"/>
                <w:b/>
              </w:rPr>
              <w:t xml:space="preserve">                                    </w:t>
            </w:r>
            <w:r>
              <w:rPr>
                <w:b/>
              </w:rPr>
              <w:t>9</w:t>
            </w:r>
            <w:r>
              <w:rPr>
                <w:rFonts w:hint="eastAsia"/>
                <w:b/>
                <w:lang w:val="en-US" w:eastAsia="zh-CN"/>
              </w:rPr>
              <w:t>2</w:t>
            </w:r>
            <w:r>
              <w:rPr>
                <w:rFonts w:hint="eastAsia"/>
                <w:b/>
              </w:rPr>
              <w:t>%</w:t>
            </w:r>
          </w:p>
          <w:p>
            <w:pPr>
              <w:rPr>
                <w:b/>
              </w:rPr>
            </w:pPr>
            <w:r>
              <w:rPr>
                <w:rFonts w:hint="eastAsia"/>
                <w:b/>
              </w:rPr>
              <w:t>成品一次交检合格率：≥90％</w:t>
            </w:r>
            <w:r>
              <w:rPr>
                <w:b/>
              </w:rPr>
              <w:t xml:space="preserve">  </w:t>
            </w:r>
            <w:r>
              <w:rPr>
                <w:rFonts w:hint="eastAsia"/>
                <w:b/>
              </w:rPr>
              <w:t xml:space="preserve">                        </w:t>
            </w:r>
            <w:r>
              <w:rPr>
                <w:rFonts w:hint="eastAsia"/>
                <w:b/>
                <w:lang w:val="en-US" w:eastAsia="zh-CN"/>
              </w:rPr>
              <w:t xml:space="preserve"> </w:t>
            </w:r>
            <w:r>
              <w:rPr>
                <w:rFonts w:hint="eastAsia"/>
                <w:b/>
              </w:rPr>
              <w:t xml:space="preserve">   </w:t>
            </w:r>
            <w:r>
              <w:rPr>
                <w:rFonts w:hint="eastAsia"/>
                <w:b/>
                <w:lang w:val="en-US" w:eastAsia="zh-CN"/>
              </w:rPr>
              <w:t>95</w:t>
            </w:r>
            <w:r>
              <w:rPr>
                <w:rFonts w:hint="eastAsia"/>
                <w:b/>
              </w:rPr>
              <w:t>%</w:t>
            </w:r>
          </w:p>
          <w:p>
            <w:pPr>
              <w:rPr>
                <w:b/>
              </w:rPr>
            </w:pPr>
            <w:r>
              <w:rPr>
                <w:rFonts w:hint="eastAsia"/>
                <w:b/>
              </w:rPr>
              <w:t xml:space="preserve">准时交货率：≥95                           </w:t>
            </w:r>
            <w:r>
              <w:rPr>
                <w:b/>
              </w:rPr>
              <w:t xml:space="preserve">  </w:t>
            </w:r>
            <w:r>
              <w:rPr>
                <w:rFonts w:hint="eastAsia"/>
                <w:b/>
              </w:rPr>
              <w:t xml:space="preserve">          </w:t>
            </w:r>
            <w:r>
              <w:rPr>
                <w:b/>
              </w:rPr>
              <w:t xml:space="preserve"> 100</w:t>
            </w:r>
            <w:r>
              <w:rPr>
                <w:rFonts w:hint="eastAsia"/>
                <w:b/>
              </w:rPr>
              <w:t>%</w:t>
            </w:r>
          </w:p>
          <w:p>
            <w:pPr>
              <w:rPr>
                <w:b/>
              </w:rPr>
            </w:pPr>
            <w:r>
              <w:rPr>
                <w:rFonts w:hint="eastAsia"/>
                <w:b/>
              </w:rPr>
              <w:t>顾客投诉及退货次数：≤6次/年                            无</w:t>
            </w:r>
          </w:p>
          <w:p>
            <w:pPr>
              <w:ind w:firstLine="420"/>
              <w:rPr>
                <w:b/>
              </w:rPr>
            </w:pPr>
            <w:r>
              <w:rPr>
                <w:rFonts w:hint="eastAsia"/>
                <w:b/>
              </w:rPr>
              <w:t>加强安全生产管理，杜绝死亡、重伤事故的发生。        无</w:t>
            </w:r>
          </w:p>
          <w:p>
            <w:pPr>
              <w:ind w:firstLine="420"/>
              <w:rPr>
                <w:b/>
              </w:rPr>
            </w:pPr>
            <w:r>
              <w:rPr>
                <w:rFonts w:hint="eastAsia"/>
                <w:b/>
              </w:rPr>
              <w:t>查看以上目标指标均已完成，质量目标适宜。</w:t>
            </w:r>
          </w:p>
          <w:p>
            <w:pPr>
              <w:ind w:firstLine="420"/>
              <w:rPr>
                <w:b/>
              </w:rPr>
            </w:pPr>
            <w:r>
              <w:rPr>
                <w:rFonts w:hint="eastAsia"/>
                <w:b/>
              </w:rPr>
              <w:t>提供《目标指标和管理方案》规定了实现目标指标的方法、设计部、责任人、资金等情况，管理方案可行，正在实施中。</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235" w:type="dxa"/>
            <w:vAlign w:val="center"/>
          </w:tcPr>
          <w:p>
            <w:pPr>
              <w:rPr>
                <w:b/>
              </w:rPr>
            </w:pPr>
            <w:r>
              <w:rPr>
                <w:rFonts w:hint="eastAsia"/>
                <w:b/>
              </w:rPr>
              <w:t>变更的策划</w:t>
            </w:r>
          </w:p>
        </w:tc>
        <w:tc>
          <w:tcPr>
            <w:tcW w:w="885" w:type="dxa"/>
            <w:vAlign w:val="center"/>
          </w:tcPr>
          <w:p>
            <w:pPr>
              <w:rPr>
                <w:b/>
              </w:rPr>
            </w:pPr>
            <w:r>
              <w:rPr>
                <w:rFonts w:hint="eastAsia"/>
                <w:b/>
              </w:rPr>
              <w:t>Q6.3</w:t>
            </w:r>
          </w:p>
        </w:tc>
        <w:tc>
          <w:tcPr>
            <w:tcW w:w="10596" w:type="dxa"/>
            <w:vAlign w:val="center"/>
          </w:tcPr>
          <w:p>
            <w:pPr>
              <w:ind w:firstLine="422" w:firstLineChars="200"/>
              <w:rPr>
                <w:b/>
              </w:rPr>
            </w:pPr>
            <w:r>
              <w:rPr>
                <w:rFonts w:hint="eastAsia"/>
                <w:b/>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ind w:firstLine="422" w:firstLineChars="200"/>
              <w:rPr>
                <w:b/>
              </w:rPr>
            </w:pPr>
            <w:r>
              <w:rPr>
                <w:rFonts w:hint="eastAsia"/>
                <w:b/>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ind w:firstLine="422" w:firstLineChars="200"/>
              <w:rPr>
                <w:b/>
              </w:rPr>
            </w:pPr>
            <w:r>
              <w:rPr>
                <w:rFonts w:hint="eastAsia"/>
                <w:b/>
              </w:rPr>
              <w:t>体系自</w:t>
            </w:r>
            <w:r>
              <w:rPr>
                <w:rFonts w:hint="eastAsia"/>
                <w:b/>
                <w:lang w:val="en-US" w:eastAsia="zh-CN"/>
              </w:rPr>
              <w:t>上一次</w:t>
            </w:r>
            <w:r>
              <w:rPr>
                <w:rFonts w:hint="eastAsia"/>
                <w:b/>
              </w:rPr>
              <w:t>认证</w:t>
            </w:r>
            <w:r>
              <w:rPr>
                <w:rFonts w:hint="eastAsia"/>
                <w:b/>
                <w:lang w:val="en-US" w:eastAsia="zh-CN"/>
              </w:rPr>
              <w:t>审核以来</w:t>
            </w:r>
            <w:r>
              <w:rPr>
                <w:rFonts w:hint="eastAsia"/>
                <w:b/>
              </w:rPr>
              <w:t>运行一年以来，暂无体系变更情况发生。</w:t>
            </w:r>
          </w:p>
        </w:tc>
        <w:tc>
          <w:tcPr>
            <w:tcW w:w="99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2235" w:type="dxa"/>
            <w:vAlign w:val="center"/>
          </w:tcPr>
          <w:p>
            <w:pPr>
              <w:rPr>
                <w:b/>
              </w:rPr>
            </w:pPr>
            <w:r>
              <w:rPr>
                <w:rFonts w:hint="eastAsia"/>
                <w:b/>
              </w:rPr>
              <w:t>资源-总则</w:t>
            </w:r>
          </w:p>
        </w:tc>
        <w:tc>
          <w:tcPr>
            <w:tcW w:w="885" w:type="dxa"/>
            <w:vAlign w:val="center"/>
          </w:tcPr>
          <w:p>
            <w:pPr>
              <w:rPr>
                <w:b/>
              </w:rPr>
            </w:pPr>
            <w:r>
              <w:rPr>
                <w:b/>
              </w:rPr>
              <w:t>Q</w:t>
            </w:r>
          </w:p>
          <w:p>
            <w:pPr>
              <w:rPr>
                <w:b/>
              </w:rPr>
            </w:pPr>
            <w:r>
              <w:rPr>
                <w:b/>
              </w:rPr>
              <w:t>7.1.1</w:t>
            </w:r>
          </w:p>
        </w:tc>
        <w:tc>
          <w:tcPr>
            <w:tcW w:w="10596" w:type="dxa"/>
            <w:vAlign w:val="center"/>
          </w:tcPr>
          <w:p>
            <w:pPr>
              <w:ind w:firstLine="422" w:firstLineChars="200"/>
              <w:rPr>
                <w:b/>
              </w:rPr>
            </w:pPr>
            <w:r>
              <w:rPr>
                <w:rFonts w:hint="eastAsia"/>
                <w:b/>
              </w:rPr>
              <w:t>公司根据公司生产运行需要，配备了各岗位所需人员、经营用房屋、生产设备(电焊机、折弯机、剪板机、压力机、卷板机、数控切割机、牛头刨床、行车等</w:t>
            </w:r>
            <w:r>
              <w:rPr>
                <w:b/>
              </w:rPr>
              <w:t>)</w:t>
            </w:r>
            <w:r>
              <w:rPr>
                <w:rFonts w:hint="eastAsia"/>
                <w:b/>
              </w:rPr>
              <w:t>、办公设备（电脑、打印机等）、监视和测量资源（游标卡尺、千分尺、百分表、钢卷尺、数字超声波探伤仪等）、消防器材、劳动防护用品、经营运行资金等资源，体系建立至今，未发生资源不足影响满足客户要求的现象。</w:t>
            </w:r>
          </w:p>
        </w:tc>
        <w:tc>
          <w:tcPr>
            <w:tcW w:w="993"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5" w:type="dxa"/>
            <w:vAlign w:val="center"/>
          </w:tcPr>
          <w:p>
            <w:pPr>
              <w:rPr>
                <w:b/>
              </w:rPr>
            </w:pPr>
            <w:r>
              <w:rPr>
                <w:rFonts w:hint="eastAsia"/>
                <w:b/>
              </w:rPr>
              <w:t>绩效测量和监视</w:t>
            </w:r>
          </w:p>
        </w:tc>
        <w:tc>
          <w:tcPr>
            <w:tcW w:w="885" w:type="dxa"/>
            <w:vAlign w:val="center"/>
          </w:tcPr>
          <w:p>
            <w:pPr>
              <w:rPr>
                <w:b/>
              </w:rPr>
            </w:pPr>
            <w:r>
              <w:rPr>
                <w:rFonts w:hint="eastAsia"/>
                <w:b/>
              </w:rPr>
              <w:t>Q9.1.1</w:t>
            </w:r>
          </w:p>
          <w:p>
            <w:pPr>
              <w:rPr>
                <w:b/>
              </w:rPr>
            </w:pPr>
            <w:r>
              <w:rPr>
                <w:rFonts w:hint="eastAsia"/>
                <w:b/>
              </w:rPr>
              <w:t>S9.1.1</w:t>
            </w:r>
          </w:p>
          <w:p>
            <w:pPr>
              <w:rPr>
                <w:b/>
              </w:rPr>
            </w:pPr>
          </w:p>
        </w:tc>
        <w:tc>
          <w:tcPr>
            <w:tcW w:w="10596" w:type="dxa"/>
            <w:vAlign w:val="center"/>
          </w:tcPr>
          <w:p>
            <w:pPr>
              <w:ind w:firstLine="422" w:firstLineChars="200"/>
              <w:rPr>
                <w:b/>
              </w:rPr>
            </w:pPr>
            <w:r>
              <w:rPr>
                <w:rFonts w:hint="eastAsia"/>
                <w:b/>
              </w:rPr>
              <w:t>公司编制了《顾客满意度调查控制程序》对销售服务的质量特性进行监视和测量，以验证其符合要求的程度，确保服务符合要求。</w:t>
            </w:r>
          </w:p>
          <w:p>
            <w:pPr>
              <w:ind w:firstLine="422" w:firstLineChars="200"/>
              <w:rPr>
                <w:b/>
              </w:rPr>
            </w:pPr>
            <w:r>
              <w:rPr>
                <w:rFonts w:hint="eastAsia"/>
                <w:b/>
              </w:rPr>
              <w:t>公司制定《不合格输出控制程序》，为保证公司质量管理体系的有效运行，通过对管理绩效的监视与测量，确保体系运行的有效性。</w:t>
            </w:r>
          </w:p>
          <w:p>
            <w:pPr>
              <w:ind w:firstLine="422" w:firstLineChars="200"/>
              <w:rPr>
                <w:b/>
              </w:rPr>
            </w:pPr>
            <w:r>
              <w:rPr>
                <w:rFonts w:hint="eastAsia"/>
                <w:b/>
              </w:rPr>
              <w:t>查阅“部门质量目标策划及考核记录表”，体系建立至今共进行季度的管理目标指标的检查考核工作，查目标考核结果均完成目标值要求。</w:t>
            </w:r>
          </w:p>
          <w:p>
            <w:pPr>
              <w:ind w:firstLine="422" w:firstLineChars="200"/>
              <w:rPr>
                <w:b/>
              </w:rPr>
            </w:pPr>
            <w:r>
              <w:rPr>
                <w:rFonts w:hint="eastAsia"/>
                <w:b/>
              </w:rPr>
              <w:t>公司配备对质量影响的运行的关键特性焊接探伤进行无损探伤监测设备。</w:t>
            </w:r>
          </w:p>
        </w:tc>
        <w:tc>
          <w:tcPr>
            <w:tcW w:w="993"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235" w:type="dxa"/>
            <w:vAlign w:val="center"/>
          </w:tcPr>
          <w:p>
            <w:pPr>
              <w:rPr>
                <w:b/>
              </w:rPr>
            </w:pPr>
            <w:r>
              <w:rPr>
                <w:rFonts w:hint="eastAsia"/>
                <w:b/>
              </w:rPr>
              <w:t>管理评审</w:t>
            </w:r>
          </w:p>
        </w:tc>
        <w:tc>
          <w:tcPr>
            <w:tcW w:w="885" w:type="dxa"/>
            <w:vAlign w:val="center"/>
          </w:tcPr>
          <w:p>
            <w:pPr>
              <w:rPr>
                <w:b/>
              </w:rPr>
            </w:pPr>
            <w:r>
              <w:rPr>
                <w:b/>
              </w:rPr>
              <w:t>Q9.3</w:t>
            </w:r>
          </w:p>
          <w:p>
            <w:pPr>
              <w:rPr>
                <w:b/>
              </w:rPr>
            </w:pPr>
            <w:r>
              <w:rPr>
                <w:rFonts w:hint="eastAsia"/>
                <w:b/>
              </w:rPr>
              <w:t>S9.3</w:t>
            </w:r>
          </w:p>
        </w:tc>
        <w:tc>
          <w:tcPr>
            <w:tcW w:w="10596" w:type="dxa"/>
            <w:vAlign w:val="center"/>
          </w:tcPr>
          <w:p>
            <w:pPr>
              <w:ind w:firstLine="422" w:firstLineChars="200"/>
              <w:rPr>
                <w:b/>
              </w:rPr>
            </w:pPr>
            <w:r>
              <w:rPr>
                <w:rFonts w:hint="eastAsia"/>
                <w:b/>
              </w:rPr>
              <w:t>公司于</w:t>
            </w:r>
            <w:r>
              <w:rPr>
                <w:rFonts w:hint="eastAsia"/>
                <w:b/>
                <w:lang w:eastAsia="zh-CN"/>
              </w:rPr>
              <w:t>2021年3月11日</w:t>
            </w:r>
            <w:r>
              <w:rPr>
                <w:rFonts w:hint="eastAsia"/>
                <w:b/>
              </w:rPr>
              <w:t>依据：GB/T19001-2016和ISO45001-2018标准进行管理评审。目前</w:t>
            </w:r>
            <w:r>
              <w:rPr>
                <w:rFonts w:hint="eastAsia"/>
                <w:b/>
                <w:lang w:val="en-US" w:eastAsia="zh-CN"/>
              </w:rPr>
              <w:t>公司体系按</w:t>
            </w:r>
            <w:r>
              <w:rPr>
                <w:rFonts w:hint="eastAsia"/>
                <w:b/>
              </w:rPr>
              <w:t>标准要求平稳运行，至今暂无</w:t>
            </w:r>
            <w:r>
              <w:rPr>
                <w:rFonts w:hint="eastAsia"/>
                <w:b/>
                <w:lang w:val="en-US" w:eastAsia="zh-CN"/>
              </w:rPr>
              <w:t>体系</w:t>
            </w:r>
            <w:r>
              <w:rPr>
                <w:rFonts w:hint="eastAsia"/>
                <w:b/>
              </w:rPr>
              <w:t>变更情况发生。</w:t>
            </w:r>
          </w:p>
          <w:p>
            <w:pPr>
              <w:rPr>
                <w:b/>
              </w:rPr>
            </w:pPr>
            <w:r>
              <w:rPr>
                <w:rFonts w:hint="eastAsia"/>
                <w:b/>
              </w:rPr>
              <w:t>查阅公司管理评审资料：</w:t>
            </w:r>
          </w:p>
          <w:p>
            <w:pPr>
              <w:rPr>
                <w:b/>
              </w:rPr>
            </w:pPr>
            <w:r>
              <w:rPr>
                <w:rFonts w:hint="eastAsia"/>
                <w:b/>
              </w:rPr>
              <w:t>一、管理评审计划，评审时间</w:t>
            </w:r>
            <w:r>
              <w:rPr>
                <w:rFonts w:hint="eastAsia"/>
                <w:b/>
                <w:color w:val="auto"/>
              </w:rPr>
              <w:t>：</w:t>
            </w:r>
            <w:r>
              <w:rPr>
                <w:rFonts w:hint="eastAsia"/>
                <w:b/>
                <w:color w:val="auto"/>
                <w:lang w:eastAsia="zh-CN"/>
              </w:rPr>
              <w:t>2021年3月11日</w:t>
            </w:r>
            <w:r>
              <w:rPr>
                <w:rFonts w:hint="eastAsia"/>
                <w:b/>
              </w:rPr>
              <w:t>评审方式：会议评审</w:t>
            </w:r>
          </w:p>
          <w:p>
            <w:pPr>
              <w:rPr>
                <w:b/>
              </w:rPr>
            </w:pPr>
            <w:r>
              <w:rPr>
                <w:rFonts w:hint="eastAsia"/>
                <w:b/>
              </w:rPr>
              <w:t>参加人员：部门负责人等。计划中明确了评审内容和资料准备要求。</w:t>
            </w:r>
          </w:p>
          <w:p>
            <w:pPr>
              <w:rPr>
                <w:b/>
              </w:rPr>
            </w:pPr>
            <w:r>
              <w:rPr>
                <w:rFonts w:hint="eastAsia"/>
                <w:b/>
              </w:rPr>
              <w:t>二、管理评审输入：</w:t>
            </w:r>
          </w:p>
          <w:p>
            <w:pPr>
              <w:rPr>
                <w:b/>
              </w:rPr>
            </w:pPr>
            <w:r>
              <w:rPr>
                <w:rFonts w:hint="eastAsia"/>
                <w:b/>
              </w:rPr>
              <w:t>方针目标适宜性、质量、职业健康安全目标的实现程度、体系策划和运行情况、可能的变更、外部供方的绩效、内审情况、顾客满意情况及纠正措施完成情况，应对风险和机遇所采取措施的有效性以及改进的建议等等。</w:t>
            </w:r>
          </w:p>
          <w:p>
            <w:pPr>
              <w:rPr>
                <w:b/>
              </w:rPr>
            </w:pPr>
            <w:r>
              <w:rPr>
                <w:rFonts w:hint="eastAsia"/>
                <w:b/>
              </w:rPr>
              <w:t>以上内容可通过会上口头发言及工作总结、汇报等形式体现。</w:t>
            </w:r>
          </w:p>
          <w:p>
            <w:pPr>
              <w:rPr>
                <w:b/>
              </w:rPr>
            </w:pPr>
            <w:r>
              <w:rPr>
                <w:rFonts w:hint="eastAsia"/>
                <w:b/>
              </w:rPr>
              <w:t>三、查看“管理评审报告”，报告中对本次管理评审做了总结，评价了公司建立、运行管理体系的效果。</w:t>
            </w:r>
          </w:p>
          <w:p>
            <w:pPr>
              <w:rPr>
                <w:b/>
              </w:rPr>
            </w:pPr>
            <w:r>
              <w:rPr>
                <w:rFonts w:hint="eastAsia"/>
                <w:b/>
              </w:rPr>
              <w:t>四、管理评审输出/评审结论：</w:t>
            </w:r>
          </w:p>
          <w:p>
            <w:pPr>
              <w:rPr>
                <w:b/>
              </w:rPr>
            </w:pPr>
            <w:r>
              <w:rPr>
                <w:rFonts w:hint="eastAsia"/>
                <w:b/>
              </w:rPr>
              <w:t>经过评审认为：本公司管理体系是符合标准的、是符合我公司实际的、是可行的、是有效的、充分的、适宜的。管理方针、管理目标是适宜的。</w:t>
            </w:r>
          </w:p>
          <w:p>
            <w:pPr>
              <w:rPr>
                <w:b/>
                <w:color w:val="auto"/>
              </w:rPr>
            </w:pPr>
            <w:r>
              <w:rPr>
                <w:rFonts w:hint="eastAsia"/>
                <w:b/>
              </w:rPr>
              <w:t>编制：</w:t>
            </w:r>
            <w:r>
              <w:rPr>
                <w:rFonts w:hint="eastAsia"/>
                <w:b/>
                <w:color w:val="auto"/>
              </w:rPr>
              <w:t>李倩倩</w:t>
            </w:r>
            <w:r>
              <w:rPr>
                <w:rFonts w:hint="eastAsia"/>
                <w:b/>
                <w:color w:val="auto"/>
                <w:lang w:val="en-US" w:eastAsia="zh-CN"/>
              </w:rPr>
              <w:t xml:space="preserve">   </w:t>
            </w:r>
            <w:r>
              <w:rPr>
                <w:rFonts w:hint="eastAsia"/>
                <w:b/>
                <w:color w:val="auto"/>
              </w:rPr>
              <w:t>审核：宋保锋   批准：</w:t>
            </w:r>
            <w:r>
              <w:rPr>
                <w:rFonts w:hint="eastAsia"/>
                <w:b/>
                <w:color w:val="auto"/>
                <w:lang w:eastAsia="zh-CN"/>
              </w:rPr>
              <w:t>赵延军</w:t>
            </w:r>
            <w:r>
              <w:rPr>
                <w:rFonts w:hint="eastAsia"/>
                <w:b/>
                <w:color w:val="auto"/>
              </w:rPr>
              <w:t>20</w:t>
            </w:r>
            <w:r>
              <w:rPr>
                <w:rFonts w:hint="eastAsia"/>
                <w:b/>
                <w:color w:val="auto"/>
                <w:lang w:val="en-US" w:eastAsia="zh-CN"/>
              </w:rPr>
              <w:t>21</w:t>
            </w:r>
            <w:r>
              <w:rPr>
                <w:rFonts w:hint="eastAsia"/>
                <w:b/>
                <w:color w:val="auto"/>
              </w:rPr>
              <w:t>年3月1</w:t>
            </w:r>
            <w:r>
              <w:rPr>
                <w:rFonts w:hint="eastAsia"/>
                <w:b/>
                <w:color w:val="auto"/>
                <w:lang w:val="en-US" w:eastAsia="zh-CN"/>
              </w:rPr>
              <w:t>1</w:t>
            </w:r>
            <w:r>
              <w:rPr>
                <w:rFonts w:hint="eastAsia"/>
                <w:b/>
                <w:color w:val="auto"/>
              </w:rPr>
              <w:t>日</w:t>
            </w:r>
          </w:p>
          <w:p>
            <w:pPr>
              <w:spacing w:line="360" w:lineRule="exact"/>
              <w:rPr>
                <w:rFonts w:hint="eastAsia" w:ascii="宋体" w:hAnsi="宋体" w:eastAsia="宋体" w:cs="宋体"/>
                <w:sz w:val="24"/>
                <w:lang w:eastAsia="zh-CN"/>
              </w:rPr>
            </w:pPr>
            <w:r>
              <w:rPr>
                <w:rFonts w:hint="eastAsia"/>
                <w:b/>
                <w:color w:val="auto"/>
              </w:rPr>
              <w:t>管理评审改进决议</w:t>
            </w:r>
            <w:r>
              <w:rPr>
                <w:rFonts w:hint="eastAsia"/>
                <w:b/>
                <w:color w:val="auto"/>
                <w:lang w:eastAsia="zh-CN"/>
              </w:rPr>
              <w:t>：</w:t>
            </w:r>
          </w:p>
          <w:p>
            <w:pPr>
              <w:spacing w:line="360" w:lineRule="exac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加强员工技能培训，对操作技能、体系管理知识等，进行培训。</w:t>
            </w:r>
          </w:p>
          <w:p>
            <w:pPr>
              <w:rPr>
                <w:b/>
                <w:color w:val="auto"/>
              </w:rPr>
            </w:pPr>
          </w:p>
          <w:p>
            <w:pPr>
              <w:rPr>
                <w:b/>
              </w:rPr>
            </w:pPr>
            <w:r>
              <w:rPr>
                <w:rFonts w:hint="eastAsia"/>
                <w:b/>
              </w:rPr>
              <w:t>在质量管理体系推行运作时，质量管理体系推行还存在不少待改进之处，主要有以下几点：</w:t>
            </w:r>
          </w:p>
          <w:p>
            <w:pPr>
              <w:spacing w:line="360" w:lineRule="exact"/>
              <w:rPr>
                <w:rFonts w:ascii="宋体" w:hAnsi="宋体" w:cs="宋体"/>
                <w:sz w:val="24"/>
              </w:rPr>
            </w:pPr>
            <w:r>
              <w:rPr>
                <w:rFonts w:hint="eastAsia" w:ascii="宋体" w:hAnsi="宋体" w:cs="宋体"/>
                <w:sz w:val="24"/>
              </w:rPr>
              <w:t>改进、纠正和预防措施摘要及责任部门：</w:t>
            </w:r>
          </w:p>
          <w:p>
            <w:pPr>
              <w:spacing w:line="360" w:lineRule="exact"/>
              <w:ind w:firstLine="422" w:firstLineChars="200"/>
              <w:rPr>
                <w:rFonts w:hint="eastAsia"/>
                <w:b/>
                <w:lang w:val="en-US" w:eastAsia="zh-CN"/>
              </w:rPr>
            </w:pPr>
            <w:r>
              <w:rPr>
                <w:rFonts w:hint="eastAsia"/>
                <w:b/>
                <w:lang w:val="en-US" w:eastAsia="zh-CN"/>
              </w:rPr>
              <w:t>查上一次</w:t>
            </w:r>
            <w:r>
              <w:rPr>
                <w:rFonts w:hint="eastAsia"/>
                <w:b/>
                <w:lang w:eastAsia="zh-CN"/>
              </w:rPr>
              <w:t>202</w:t>
            </w:r>
            <w:r>
              <w:rPr>
                <w:rFonts w:hint="eastAsia"/>
                <w:b/>
                <w:lang w:val="en-US" w:eastAsia="zh-CN"/>
              </w:rPr>
              <w:t>0年管理评审</w:t>
            </w:r>
            <w:r>
              <w:rPr>
                <w:rFonts w:hint="eastAsia"/>
                <w:b/>
              </w:rPr>
              <w:t>依据：GB/T19001-2016和ISO45001-2018标准进行管理评审</w:t>
            </w:r>
            <w:r>
              <w:rPr>
                <w:rFonts w:hint="eastAsia"/>
                <w:b/>
                <w:lang w:val="en-US" w:eastAsia="zh-CN"/>
              </w:rPr>
              <w:t>的措施已实施。</w:t>
            </w:r>
          </w:p>
          <w:p>
            <w:pPr>
              <w:spacing w:line="360" w:lineRule="exact"/>
              <w:rPr>
                <w:rFonts w:hint="eastAsia" w:ascii="宋体" w:hAnsi="宋体" w:cs="宋体"/>
                <w:sz w:val="24"/>
              </w:rPr>
            </w:pPr>
            <w:r>
              <w:rPr>
                <w:rFonts w:hint="eastAsia" w:ascii="宋体" w:hAnsi="宋体" w:cs="宋体"/>
                <w:sz w:val="24"/>
              </w:rPr>
              <w:t>改进、纠正和预防措施摘要及责任部门：</w:t>
            </w:r>
          </w:p>
          <w:p>
            <w:pPr>
              <w:spacing w:line="360" w:lineRule="exac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加强员工技能培训，对操作技能、体系管理知识等，进行培训。</w:t>
            </w:r>
          </w:p>
          <w:p>
            <w:pPr>
              <w:rPr>
                <w:rFonts w:hint="eastAsia" w:ascii="宋体" w:hAnsi="宋体" w:cs="宋体"/>
                <w:sz w:val="24"/>
              </w:rPr>
            </w:pPr>
            <w:r>
              <w:rPr>
                <w:rFonts w:hint="eastAsia"/>
                <w:b/>
                <w:lang w:val="en-US" w:eastAsia="zh-CN"/>
              </w:rPr>
              <w:t>但相关证实保留欠充分，已交流</w:t>
            </w:r>
            <w:r>
              <w:rPr>
                <w:rFonts w:hint="eastAsia"/>
                <w:b/>
              </w:rPr>
              <w:t>。</w:t>
            </w:r>
            <w:bookmarkStart w:id="0" w:name="_GoBack"/>
            <w:bookmarkEnd w:id="0"/>
          </w:p>
        </w:tc>
        <w:tc>
          <w:tcPr>
            <w:tcW w:w="993"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5" w:type="dxa"/>
            <w:vAlign w:val="center"/>
          </w:tcPr>
          <w:p>
            <w:pPr>
              <w:rPr>
                <w:b/>
              </w:rPr>
            </w:pPr>
            <w:r>
              <w:rPr>
                <w:rFonts w:hint="eastAsia"/>
                <w:b/>
              </w:rPr>
              <w:t>体系的运行现状及改进的要求</w:t>
            </w:r>
          </w:p>
        </w:tc>
        <w:tc>
          <w:tcPr>
            <w:tcW w:w="885" w:type="dxa"/>
            <w:vAlign w:val="center"/>
          </w:tcPr>
          <w:p>
            <w:pPr>
              <w:rPr>
                <w:b/>
              </w:rPr>
            </w:pPr>
            <w:r>
              <w:rPr>
                <w:rFonts w:hint="eastAsia"/>
                <w:b/>
              </w:rPr>
              <w:t>Q</w:t>
            </w:r>
          </w:p>
          <w:p>
            <w:pPr>
              <w:rPr>
                <w:b/>
              </w:rPr>
            </w:pPr>
            <w:r>
              <w:rPr>
                <w:rFonts w:hint="eastAsia"/>
                <w:b/>
              </w:rPr>
              <w:t>10.1</w:t>
            </w:r>
          </w:p>
          <w:p>
            <w:pPr>
              <w:rPr>
                <w:b/>
              </w:rPr>
            </w:pPr>
            <w:r>
              <w:rPr>
                <w:rFonts w:hint="eastAsia"/>
                <w:b/>
              </w:rPr>
              <w:t>S10.1</w:t>
            </w:r>
          </w:p>
        </w:tc>
        <w:tc>
          <w:tcPr>
            <w:tcW w:w="10596" w:type="dxa"/>
            <w:vAlign w:val="center"/>
          </w:tcPr>
          <w:p>
            <w:pPr>
              <w:ind w:firstLine="422" w:firstLineChars="200"/>
              <w:rPr>
                <w:b/>
              </w:rPr>
            </w:pPr>
            <w:r>
              <w:rPr>
                <w:rFonts w:hint="eastAsia"/>
                <w:b/>
              </w:rPr>
              <w:t>企业自体系建立以来，通过内审的改进、管理评审；纠正措施的实施、顾客满意度调查等措施，采取了具体的改进措施。基本符合要求。</w:t>
            </w:r>
          </w:p>
          <w:p>
            <w:pPr>
              <w:ind w:firstLine="422" w:firstLineChars="200"/>
              <w:rPr>
                <w:b/>
              </w:rPr>
            </w:pPr>
            <w:r>
              <w:rPr>
                <w:rFonts w:hint="eastAsia"/>
                <w:b/>
              </w:rPr>
              <w:t>总经理通过建立QS管理方针和目标，并鼓励员工提合理化建议，营造了一个激励改进的氛围，通过质量目标的建立与考核，明确了改进、努力的方向，通过过程造价咨询服务以满足需求，通过内审、管理评审、数据分析与实施纠正和纠正措施，建立一个自我完善、持续改进的机制，不断改进体系绩效和有效性。</w:t>
            </w:r>
          </w:p>
        </w:tc>
        <w:tc>
          <w:tcPr>
            <w:tcW w:w="993"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235" w:type="dxa"/>
            <w:vAlign w:val="center"/>
          </w:tcPr>
          <w:p>
            <w:pPr>
              <w:rPr>
                <w:b/>
              </w:rPr>
            </w:pPr>
            <w:r>
              <w:rPr>
                <w:rFonts w:hint="eastAsia"/>
                <w:b/>
              </w:rPr>
              <w:t>持续改进</w:t>
            </w:r>
          </w:p>
        </w:tc>
        <w:tc>
          <w:tcPr>
            <w:tcW w:w="885" w:type="dxa"/>
            <w:vAlign w:val="center"/>
          </w:tcPr>
          <w:p>
            <w:pPr>
              <w:rPr>
                <w:b/>
              </w:rPr>
            </w:pPr>
            <w:r>
              <w:rPr>
                <w:b/>
              </w:rPr>
              <w:t>Q</w:t>
            </w:r>
          </w:p>
          <w:p>
            <w:pPr>
              <w:rPr>
                <w:b/>
              </w:rPr>
            </w:pPr>
            <w:r>
              <w:rPr>
                <w:b/>
              </w:rPr>
              <w:t>10.3</w:t>
            </w:r>
          </w:p>
          <w:p>
            <w:pPr>
              <w:rPr>
                <w:b/>
              </w:rPr>
            </w:pPr>
            <w:r>
              <w:rPr>
                <w:rFonts w:hint="eastAsia"/>
                <w:b/>
              </w:rPr>
              <w:t>S10.3</w:t>
            </w:r>
          </w:p>
        </w:tc>
        <w:tc>
          <w:tcPr>
            <w:tcW w:w="10596" w:type="dxa"/>
            <w:vAlign w:val="center"/>
          </w:tcPr>
          <w:p>
            <w:pPr>
              <w:ind w:firstLine="422" w:firstLineChars="200"/>
              <w:rPr>
                <w:b/>
              </w:rPr>
            </w:pPr>
            <w:r>
              <w:rPr>
                <w:rFonts w:hint="eastAsia"/>
                <w:b/>
              </w:rPr>
              <w:t>公司规定了纠正措施的来源,明确了对不合格项应进行原因分析,制定纠正措施计划,实施跟踪验证,确保所采取的纠正措施满足预期要求。</w:t>
            </w:r>
          </w:p>
          <w:p>
            <w:pPr>
              <w:ind w:firstLine="422" w:firstLineChars="200"/>
              <w:rPr>
                <w:b/>
              </w:rPr>
            </w:pPr>
            <w:r>
              <w:rPr>
                <w:rFonts w:hint="eastAsia"/>
                <w:b/>
              </w:rPr>
              <w:t>对以上不合格品采取退货货处置，对其进行原因分析并采取纠正措施，经主管经理验收，有效。</w:t>
            </w:r>
          </w:p>
          <w:p>
            <w:pPr>
              <w:ind w:firstLine="422" w:firstLineChars="200"/>
              <w:rPr>
                <w:b/>
              </w:rPr>
            </w:pPr>
            <w:r>
              <w:rPr>
                <w:rFonts w:hint="eastAsia"/>
                <w:b/>
              </w:rPr>
              <w:t>内审中发现的不符合项已经采取纠正措施，整改完毕且有效。</w:t>
            </w:r>
          </w:p>
          <w:p>
            <w:pPr>
              <w:ind w:firstLine="422" w:firstLineChars="200"/>
              <w:rPr>
                <w:b/>
              </w:rPr>
            </w:pPr>
            <w:r>
              <w:rPr>
                <w:rFonts w:hint="eastAsia"/>
                <w:b/>
              </w:rPr>
              <w:t>通过交谈，基本能清楚纠正和预防措施的控制要求。符合要求。</w:t>
            </w:r>
          </w:p>
          <w:p>
            <w:pPr>
              <w:ind w:firstLine="422" w:firstLineChars="200"/>
              <w:rPr>
                <w:b/>
              </w:rPr>
            </w:pPr>
            <w:r>
              <w:rPr>
                <w:rFonts w:hint="eastAsia"/>
                <w:b/>
              </w:rPr>
              <w:t>改进的示例包括纠正、纠正措施、持续改进、突变、创新或重组。</w:t>
            </w:r>
          </w:p>
          <w:p>
            <w:pPr>
              <w:ind w:firstLine="422" w:firstLineChars="200"/>
              <w:rPr>
                <w:b/>
              </w:rPr>
            </w:pPr>
            <w:r>
              <w:rPr>
                <w:rFonts w:hint="eastAsia"/>
                <w:b/>
              </w:rPr>
              <w:t>为确保公司提供给客户合格的产品和服务，公司开展检查和考核工作。</w:t>
            </w:r>
          </w:p>
          <w:p>
            <w:pPr>
              <w:ind w:firstLine="422" w:firstLineChars="200"/>
              <w:rPr>
                <w:b/>
              </w:rPr>
            </w:pPr>
            <w:r>
              <w:rPr>
                <w:rFonts w:hint="eastAsia"/>
                <w:b/>
              </w:rPr>
              <w:t>根据不同过程、不同产品和不同要求，采取不同的方法进行监视、测量和分析。</w:t>
            </w:r>
          </w:p>
          <w:p>
            <w:pPr>
              <w:ind w:firstLine="422" w:firstLineChars="200"/>
              <w:rPr>
                <w:b/>
              </w:rPr>
            </w:pPr>
            <w:r>
              <w:rPr>
                <w:rFonts w:hint="eastAsia"/>
                <w:b/>
              </w:rPr>
              <w:t>公司利用QS方针、目标、内审和外审、数据分析、纠正和预防措施以及管理评审，识别任何改进的机会，持续改进质量管理体系的适宜性、充分性和有效性。</w:t>
            </w:r>
          </w:p>
        </w:tc>
        <w:tc>
          <w:tcPr>
            <w:tcW w:w="993"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235" w:type="dxa"/>
            <w:vAlign w:val="center"/>
          </w:tcPr>
          <w:p>
            <w:pPr>
              <w:rPr>
                <w:rFonts w:hint="eastAsia" w:ascii="宋体" w:hAnsi="宋体"/>
                <w:b/>
                <w:sz w:val="18"/>
                <w:szCs w:val="18"/>
              </w:rPr>
            </w:pPr>
            <w:r>
              <w:rPr>
                <w:rFonts w:hint="eastAsia" w:ascii="宋体" w:hAnsi="宋体"/>
                <w:b/>
                <w:sz w:val="18"/>
                <w:szCs w:val="18"/>
              </w:rPr>
              <w:t>标准/规范/法规的执行情况；</w:t>
            </w:r>
          </w:p>
          <w:p>
            <w:pPr>
              <w:rPr>
                <w:rFonts w:hint="eastAsia" w:ascii="宋体" w:hAnsi="宋体"/>
                <w:b/>
                <w:sz w:val="18"/>
                <w:szCs w:val="18"/>
              </w:rPr>
            </w:pPr>
            <w:r>
              <w:rPr>
                <w:rFonts w:hint="eastAsia" w:ascii="宋体" w:hAnsi="宋体"/>
                <w:b/>
                <w:sz w:val="18"/>
                <w:szCs w:val="18"/>
              </w:rPr>
              <w:t>上次审核不符合项的验证；</w:t>
            </w:r>
          </w:p>
          <w:p>
            <w:pPr>
              <w:rPr>
                <w:rFonts w:hint="eastAsia" w:ascii="宋体" w:hAnsi="宋体"/>
                <w:b/>
                <w:sz w:val="18"/>
                <w:szCs w:val="18"/>
              </w:rPr>
            </w:pPr>
            <w:r>
              <w:rPr>
                <w:rFonts w:hint="eastAsia" w:ascii="宋体" w:hAnsi="宋体"/>
                <w:b/>
                <w:sz w:val="18"/>
                <w:szCs w:val="18"/>
              </w:rPr>
              <w:t>认证证书、标志的使用情况；</w:t>
            </w:r>
          </w:p>
          <w:p>
            <w:pPr>
              <w:rPr>
                <w:rFonts w:hint="eastAsia" w:ascii="宋体" w:hAnsi="宋体"/>
                <w:b/>
                <w:sz w:val="18"/>
                <w:szCs w:val="18"/>
              </w:rPr>
            </w:pPr>
            <w:r>
              <w:rPr>
                <w:rFonts w:hint="eastAsia" w:ascii="宋体" w:hAnsi="宋体"/>
                <w:b/>
                <w:sz w:val="18"/>
                <w:szCs w:val="18"/>
              </w:rPr>
              <w:t>投诉或事故、监督抽查情况；</w:t>
            </w:r>
          </w:p>
          <w:p>
            <w:pPr>
              <w:rPr>
                <w:rFonts w:hint="eastAsia"/>
                <w:b/>
              </w:rPr>
            </w:pPr>
            <w:r>
              <w:rPr>
                <w:rFonts w:hint="eastAsia" w:ascii="宋体" w:hAnsi="宋体"/>
                <w:b/>
                <w:sz w:val="18"/>
                <w:szCs w:val="18"/>
              </w:rPr>
              <w:t>体系变动</w:t>
            </w:r>
          </w:p>
        </w:tc>
        <w:tc>
          <w:tcPr>
            <w:tcW w:w="885" w:type="dxa"/>
            <w:vAlign w:val="center"/>
          </w:tcPr>
          <w:p>
            <w:pPr>
              <w:rPr>
                <w:b/>
              </w:rPr>
            </w:pPr>
          </w:p>
        </w:tc>
        <w:tc>
          <w:tcPr>
            <w:tcW w:w="10596" w:type="dxa"/>
          </w:tcPr>
          <w:p>
            <w:pPr>
              <w:spacing w:line="280" w:lineRule="exact"/>
              <w:rPr>
                <w:rFonts w:hint="eastAsia" w:ascii="宋体" w:hAnsi="宋体"/>
                <w:b/>
                <w:szCs w:val="21"/>
              </w:rPr>
            </w:pPr>
            <w:r>
              <w:rPr>
                <w:rFonts w:hint="eastAsia" w:ascii="宋体" w:hAnsi="宋体"/>
                <w:b/>
                <w:szCs w:val="21"/>
              </w:rPr>
              <w:t>标准/规范/法规的执行情况未发生违规情况；</w:t>
            </w:r>
          </w:p>
          <w:p>
            <w:pPr>
              <w:spacing w:before="120" w:line="280" w:lineRule="exact"/>
              <w:rPr>
                <w:rFonts w:hint="eastAsia" w:ascii="宋体" w:hAnsi="宋体"/>
                <w:b/>
                <w:szCs w:val="21"/>
              </w:rPr>
            </w:pPr>
            <w:r>
              <w:rPr>
                <w:rFonts w:hint="eastAsia" w:ascii="宋体" w:hAnsi="宋体"/>
                <w:b/>
                <w:szCs w:val="21"/>
              </w:rPr>
              <w:t>上次审核</w:t>
            </w:r>
            <w:r>
              <w:rPr>
                <w:rFonts w:hint="eastAsia" w:ascii="宋体" w:hAnsi="宋体"/>
                <w:b/>
                <w:szCs w:val="21"/>
                <w:lang w:val="en-US" w:eastAsia="zh-CN"/>
              </w:rPr>
              <w:t>综合部不</w:t>
            </w:r>
            <w:r>
              <w:rPr>
                <w:rFonts w:hint="eastAsia" w:ascii="宋体" w:hAnsi="宋体"/>
                <w:b/>
                <w:szCs w:val="21"/>
              </w:rPr>
              <w:t xml:space="preserve">符合项： </w:t>
            </w:r>
          </w:p>
          <w:p>
            <w:pPr>
              <w:rPr>
                <w:rFonts w:hint="eastAsia" w:asciiTheme="minorEastAsia" w:hAnsiTheme="minorEastAsia" w:eastAsiaTheme="minorEastAsia"/>
                <w:b/>
                <w:bCs w:val="0"/>
                <w:color w:val="auto"/>
                <w:szCs w:val="21"/>
                <w:lang w:val="en-US" w:eastAsia="zh-CN"/>
              </w:rPr>
            </w:pPr>
            <w:r>
              <w:rPr>
                <w:rFonts w:hint="eastAsia" w:asciiTheme="minorEastAsia" w:hAnsiTheme="minorEastAsia" w:eastAsiaTheme="minorEastAsia"/>
                <w:b/>
                <w:bCs w:val="0"/>
                <w:color w:val="auto"/>
                <w:szCs w:val="21"/>
              </w:rPr>
              <w:t>查阅受控文件的相关证实，（编号：ZL-COP01-011），管理手册GSGJJ-QEOM-01、程序文件 GSGJJ-COP-01均为失效版本。</w:t>
            </w:r>
            <w:r>
              <w:rPr>
                <w:rFonts w:asciiTheme="minorEastAsia" w:hAnsiTheme="minorEastAsia" w:eastAsiaTheme="minorEastAsia"/>
                <w:b/>
                <w:bCs w:val="0"/>
                <w:color w:val="auto"/>
                <w:szCs w:val="21"/>
              </w:rPr>
              <w:t>开具一般不符合报告</w:t>
            </w:r>
            <w:r>
              <w:rPr>
                <w:rFonts w:hint="eastAsia" w:asciiTheme="minorEastAsia" w:hAnsiTheme="minorEastAsia" w:eastAsiaTheme="minorEastAsia"/>
                <w:b/>
                <w:bCs w:val="0"/>
                <w:color w:val="auto"/>
                <w:szCs w:val="21"/>
              </w:rPr>
              <w:t>1项</w:t>
            </w:r>
            <w:r>
              <w:rPr>
                <w:rFonts w:hint="eastAsia" w:asciiTheme="minorEastAsia" w:hAnsiTheme="minorEastAsia" w:eastAsiaTheme="minorEastAsia"/>
                <w:b/>
                <w:bCs w:val="0"/>
                <w:color w:val="auto"/>
                <w:szCs w:val="21"/>
                <w:lang w:eastAsia="zh-CN"/>
              </w:rPr>
              <w:t>，</w:t>
            </w:r>
            <w:r>
              <w:rPr>
                <w:rFonts w:hint="eastAsia" w:asciiTheme="minorEastAsia" w:hAnsiTheme="minorEastAsia" w:eastAsiaTheme="minorEastAsia"/>
                <w:b/>
                <w:bCs w:val="0"/>
                <w:color w:val="auto"/>
                <w:szCs w:val="21"/>
                <w:lang w:val="en-US" w:eastAsia="zh-CN"/>
              </w:rPr>
              <w:t>经现场验证，纠正措施实施有效。</w:t>
            </w:r>
          </w:p>
          <w:p>
            <w:pPr>
              <w:rPr>
                <w:rFonts w:hint="eastAsia" w:ascii="方正仿宋简体" w:eastAsia="方正仿宋简体"/>
                <w:b/>
                <w:szCs w:val="21"/>
              </w:rPr>
            </w:pPr>
            <w:r>
              <w:rPr>
                <w:rFonts w:hint="eastAsia" w:ascii="宋体" w:hAnsi="宋体"/>
                <w:b/>
                <w:szCs w:val="21"/>
              </w:rPr>
              <w:t>本次审核</w:t>
            </w:r>
            <w:r>
              <w:rPr>
                <w:rFonts w:hint="eastAsia" w:ascii="宋体" w:hAnsi="宋体"/>
                <w:b/>
                <w:szCs w:val="21"/>
                <w:lang w:val="en-US" w:eastAsia="zh-CN"/>
              </w:rPr>
              <w:t>未发生文件类似失效的相关情况</w:t>
            </w:r>
            <w:r>
              <w:rPr>
                <w:rFonts w:hint="eastAsia" w:ascii="方正仿宋简体" w:eastAsia="方正仿宋简体"/>
                <w:b/>
                <w:szCs w:val="21"/>
              </w:rPr>
              <w:t>。纠正措施经现场验证，不符合整改基本有效。</w:t>
            </w:r>
          </w:p>
          <w:p>
            <w:pPr>
              <w:spacing w:line="280" w:lineRule="exact"/>
              <w:rPr>
                <w:rFonts w:hint="eastAsia" w:ascii="宋体" w:hAnsi="宋体"/>
                <w:b/>
                <w:szCs w:val="21"/>
              </w:rPr>
            </w:pPr>
            <w:r>
              <w:rPr>
                <w:rFonts w:hint="eastAsia" w:ascii="宋体" w:hAnsi="宋体"/>
                <w:b/>
                <w:szCs w:val="21"/>
              </w:rPr>
              <w:t>现场查看及管理层人员</w:t>
            </w:r>
            <w:r>
              <w:rPr>
                <w:rFonts w:hint="eastAsia" w:ascii="宋体" w:hAnsi="宋体"/>
                <w:b/>
                <w:szCs w:val="21"/>
                <w:lang w:val="en-US" w:eastAsia="zh-CN"/>
              </w:rPr>
              <w:t>赵总、宋总介绍及现场查看</w:t>
            </w:r>
            <w:r>
              <w:rPr>
                <w:rFonts w:hint="eastAsia" w:ascii="宋体" w:hAnsi="宋体"/>
                <w:b/>
                <w:szCs w:val="21"/>
              </w:rPr>
              <w:t>认证证书、标志的使用情况未发现违规现象；</w:t>
            </w:r>
          </w:p>
          <w:p>
            <w:pPr>
              <w:spacing w:line="280" w:lineRule="exact"/>
              <w:rPr>
                <w:rFonts w:hint="eastAsia" w:ascii="宋体" w:hAnsi="宋体"/>
                <w:b/>
                <w:szCs w:val="21"/>
              </w:rPr>
            </w:pPr>
            <w:r>
              <w:rPr>
                <w:rFonts w:hint="eastAsia" w:ascii="宋体" w:hAnsi="宋体"/>
                <w:b/>
                <w:szCs w:val="21"/>
              </w:rPr>
              <w:t>未发生顾客等相关方投诉或事故；</w:t>
            </w:r>
          </w:p>
          <w:p>
            <w:pPr>
              <w:spacing w:line="280" w:lineRule="exact"/>
              <w:rPr>
                <w:rFonts w:hint="eastAsia" w:ascii="宋体" w:hAnsi="宋体"/>
                <w:b/>
                <w:szCs w:val="21"/>
              </w:rPr>
            </w:pPr>
            <w:r>
              <w:rPr>
                <w:rFonts w:hint="eastAsia" w:ascii="宋体" w:hAnsi="宋体"/>
                <w:b/>
                <w:szCs w:val="21"/>
              </w:rPr>
              <w:t>管代介绍：</w:t>
            </w:r>
            <w:r>
              <w:rPr>
                <w:rFonts w:hint="eastAsia" w:ascii="宋体" w:hAnsi="宋体"/>
                <w:b/>
                <w:szCs w:val="21"/>
                <w:lang w:val="en-US" w:eastAsia="zh-CN"/>
              </w:rPr>
              <w:t>从上次监督审核以来，</w:t>
            </w:r>
            <w:r>
              <w:rPr>
                <w:rFonts w:hint="eastAsia" w:ascii="宋体" w:hAnsi="宋体"/>
                <w:b/>
                <w:szCs w:val="21"/>
              </w:rPr>
              <w:t>未发生上级部门及质量。安监等部门的监督抽查情况；</w:t>
            </w:r>
          </w:p>
          <w:p>
            <w:pPr>
              <w:spacing w:line="280" w:lineRule="exact"/>
              <w:rPr>
                <w:rFonts w:hint="eastAsia"/>
                <w:b/>
              </w:rPr>
            </w:pPr>
            <w:r>
              <w:rPr>
                <w:rFonts w:hint="eastAsia" w:ascii="宋体" w:hAnsi="宋体"/>
                <w:b/>
                <w:szCs w:val="21"/>
              </w:rPr>
              <w:t>经查验公司的质量、职业健康安全管理体系体系未发生部门职责变动及</w:t>
            </w:r>
            <w:r>
              <w:rPr>
                <w:rFonts w:hint="eastAsia" w:ascii="宋体" w:hAnsi="宋体"/>
                <w:b/>
                <w:szCs w:val="21"/>
                <w:lang w:val="en-US" w:eastAsia="zh-CN"/>
              </w:rPr>
              <w:t>部门</w:t>
            </w:r>
            <w:r>
              <w:rPr>
                <w:rFonts w:hint="eastAsia" w:ascii="宋体" w:hAnsi="宋体"/>
                <w:b/>
                <w:szCs w:val="21"/>
              </w:rPr>
              <w:t>职责调整的状况。</w:t>
            </w:r>
          </w:p>
        </w:tc>
        <w:tc>
          <w:tcPr>
            <w:tcW w:w="993" w:type="dxa"/>
          </w:tcPr>
          <w:p>
            <w:pPr>
              <w:rPr>
                <w:rFonts w:ascii="宋体" w:hAnsi="宋体" w:cs="宋体"/>
              </w:rPr>
            </w:pPr>
          </w:p>
        </w:tc>
      </w:tr>
    </w:tbl>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2"/>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ISC-B-II-12 管理体系审核记录表(03版)</w:t>
                </w:r>
              </w:p>
            </w:txbxContent>
          </v:textbox>
        </v:shape>
      </w:pict>
    </w:r>
    <w:r>
      <w:rPr>
        <w:rStyle w:val="10"/>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0131"/>
    <w:rsid w:val="000237F6"/>
    <w:rsid w:val="0003373A"/>
    <w:rsid w:val="00036F07"/>
    <w:rsid w:val="000503BD"/>
    <w:rsid w:val="000B0D6E"/>
    <w:rsid w:val="001407B3"/>
    <w:rsid w:val="001546D6"/>
    <w:rsid w:val="001A2D7F"/>
    <w:rsid w:val="0027240D"/>
    <w:rsid w:val="002917C4"/>
    <w:rsid w:val="002C3B5A"/>
    <w:rsid w:val="002E376E"/>
    <w:rsid w:val="00307079"/>
    <w:rsid w:val="00337922"/>
    <w:rsid w:val="00340867"/>
    <w:rsid w:val="00375A50"/>
    <w:rsid w:val="00380837"/>
    <w:rsid w:val="0038627B"/>
    <w:rsid w:val="003A198A"/>
    <w:rsid w:val="00410914"/>
    <w:rsid w:val="00461977"/>
    <w:rsid w:val="004D56D5"/>
    <w:rsid w:val="004F13E5"/>
    <w:rsid w:val="00536930"/>
    <w:rsid w:val="00553797"/>
    <w:rsid w:val="00564E53"/>
    <w:rsid w:val="005E3F19"/>
    <w:rsid w:val="00644FE2"/>
    <w:rsid w:val="0067640C"/>
    <w:rsid w:val="006A7BED"/>
    <w:rsid w:val="006B5529"/>
    <w:rsid w:val="006D1A63"/>
    <w:rsid w:val="006E678B"/>
    <w:rsid w:val="00731DF9"/>
    <w:rsid w:val="00764EA5"/>
    <w:rsid w:val="00770BAE"/>
    <w:rsid w:val="007757F3"/>
    <w:rsid w:val="007E6AEB"/>
    <w:rsid w:val="00813019"/>
    <w:rsid w:val="008973EE"/>
    <w:rsid w:val="009333D0"/>
    <w:rsid w:val="00937551"/>
    <w:rsid w:val="00971600"/>
    <w:rsid w:val="00972802"/>
    <w:rsid w:val="009955EB"/>
    <w:rsid w:val="009973B4"/>
    <w:rsid w:val="009B44EF"/>
    <w:rsid w:val="009C28C1"/>
    <w:rsid w:val="009F7EED"/>
    <w:rsid w:val="00AB7E1A"/>
    <w:rsid w:val="00AC68EF"/>
    <w:rsid w:val="00AF0AAB"/>
    <w:rsid w:val="00B57B8F"/>
    <w:rsid w:val="00B95B93"/>
    <w:rsid w:val="00BF597E"/>
    <w:rsid w:val="00C05B7B"/>
    <w:rsid w:val="00C51A36"/>
    <w:rsid w:val="00C55228"/>
    <w:rsid w:val="00C75724"/>
    <w:rsid w:val="00CA223E"/>
    <w:rsid w:val="00CB27BB"/>
    <w:rsid w:val="00CE315A"/>
    <w:rsid w:val="00D06F59"/>
    <w:rsid w:val="00D32A84"/>
    <w:rsid w:val="00D3573F"/>
    <w:rsid w:val="00D40A96"/>
    <w:rsid w:val="00D8388C"/>
    <w:rsid w:val="00DB3DEC"/>
    <w:rsid w:val="00E10748"/>
    <w:rsid w:val="00EB0164"/>
    <w:rsid w:val="00EC6721"/>
    <w:rsid w:val="00ED0F62"/>
    <w:rsid w:val="00F47286"/>
    <w:rsid w:val="00FB75EC"/>
    <w:rsid w:val="02F154C3"/>
    <w:rsid w:val="07502072"/>
    <w:rsid w:val="0D5D0C5E"/>
    <w:rsid w:val="108219C2"/>
    <w:rsid w:val="18C070D5"/>
    <w:rsid w:val="19ED765C"/>
    <w:rsid w:val="33083ADC"/>
    <w:rsid w:val="3DEF5E3C"/>
    <w:rsid w:val="415D5588"/>
    <w:rsid w:val="416A271A"/>
    <w:rsid w:val="431F3839"/>
    <w:rsid w:val="44BD3439"/>
    <w:rsid w:val="50D61851"/>
    <w:rsid w:val="5DD4348F"/>
    <w:rsid w:val="5EA12B9A"/>
    <w:rsid w:val="629C3F72"/>
    <w:rsid w:val="68CA0F97"/>
    <w:rsid w:val="6B776750"/>
    <w:rsid w:val="73D005E1"/>
    <w:rsid w:val="73EB4494"/>
    <w:rsid w:val="78E60EBE"/>
    <w:rsid w:val="7DE56C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9"/>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2"/>
    <w:qFormat/>
    <w:uiPriority w:val="99"/>
    <w:rPr>
      <w:rFonts w:ascii="Times New Roman" w:hAnsi="Times New Roman" w:eastAsia="宋体" w:cs="Times New Roman"/>
      <w:sz w:val="18"/>
      <w:szCs w:val="18"/>
    </w:rPr>
  </w:style>
  <w:style w:type="character" w:customStyle="1" w:styleId="8">
    <w:name w:val="页脚 Char"/>
    <w:basedOn w:val="6"/>
    <w:link w:val="4"/>
    <w:qFormat/>
    <w:uiPriority w:val="99"/>
    <w:rPr>
      <w:rFonts w:ascii="Times New Roman" w:hAnsi="Times New Roman" w:eastAsia="宋体" w:cs="Times New Roman"/>
      <w:sz w:val="18"/>
      <w:szCs w:val="18"/>
    </w:rPr>
  </w:style>
  <w:style w:type="character" w:customStyle="1" w:styleId="9">
    <w:name w:val="批注框文本 Char"/>
    <w:basedOn w:val="6"/>
    <w:link w:val="3"/>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978</Words>
  <Characters>5576</Characters>
  <Lines>46</Lines>
  <Paragraphs>13</Paragraphs>
  <TotalTime>0</TotalTime>
  <ScaleCrop>false</ScaleCrop>
  <LinksUpToDate>false</LinksUpToDate>
  <CharactersWithSpaces>6541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2021-03-30T14:27:29Z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2113C009A5C94674918CA116E7E0854E</vt:lpwstr>
  </property>
</Properties>
</file>