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邢台诚创铁路机车车辆配件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巨鹿县堤村乡西佛寨村和谐大街中段南侧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士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3096760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马士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3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铁路机车车辆配件的制造及销售；工矿机械配件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4.00;29.03.01;29.10.07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0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03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,29.10.07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艳东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北新城际轨道交通科技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