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2220"/>
        <w:gridCol w:w="10040"/>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47"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2220" w:type="dxa"/>
            <w:vMerge w:val="restart"/>
            <w:vAlign w:val="center"/>
          </w:tcPr>
          <w:p>
            <w:pPr>
              <w:jc w:val="center"/>
              <w:rPr>
                <w:sz w:val="24"/>
                <w:szCs w:val="24"/>
              </w:rPr>
            </w:pPr>
            <w:r>
              <w:rPr>
                <w:rFonts w:hint="eastAsia"/>
                <w:sz w:val="24"/>
                <w:szCs w:val="24"/>
              </w:rPr>
              <w:t>涉及-</w:t>
            </w:r>
          </w:p>
          <w:p>
            <w:pPr>
              <w:jc w:val="center"/>
            </w:pPr>
            <w:r>
              <w:rPr>
                <w:rFonts w:hint="eastAsia"/>
                <w:sz w:val="24"/>
                <w:szCs w:val="24"/>
              </w:rPr>
              <w:t>条款</w:t>
            </w:r>
          </w:p>
        </w:tc>
        <w:tc>
          <w:tcPr>
            <w:tcW w:w="10040" w:type="dxa"/>
            <w:vAlign w:val="center"/>
          </w:tcPr>
          <w:p>
            <w:pPr>
              <w:spacing w:line="380" w:lineRule="exact"/>
              <w:rPr>
                <w:rFonts w:hint="eastAsia" w:eastAsia="宋体"/>
                <w:sz w:val="24"/>
                <w:szCs w:val="22"/>
                <w:lang w:eastAsia="zh-CN"/>
              </w:rPr>
            </w:pPr>
            <w:r>
              <w:rPr>
                <w:rFonts w:hint="eastAsia"/>
                <w:sz w:val="24"/>
                <w:szCs w:val="22"/>
              </w:rPr>
              <w:t>受审核部门：办公室    主管领导：</w:t>
            </w:r>
            <w:r>
              <w:rPr>
                <w:rFonts w:hint="eastAsia" w:ascii="宋体" w:hAnsi="宋体" w:cs="宋体"/>
                <w:kern w:val="0"/>
                <w:sz w:val="24"/>
                <w:szCs w:val="24"/>
              </w:rPr>
              <w:t>白金荣</w:t>
            </w:r>
            <w:r>
              <w:rPr>
                <w:rFonts w:hint="eastAsia"/>
                <w:sz w:val="24"/>
                <w:szCs w:val="22"/>
              </w:rPr>
              <w:t xml:space="preserve">    陪同人员：</w:t>
            </w:r>
            <w:r>
              <w:rPr>
                <w:rFonts w:hint="eastAsia" w:ascii="宋体" w:hAnsi="宋体" w:cs="宋体"/>
                <w:kern w:val="0"/>
                <w:sz w:val="24"/>
                <w:szCs w:val="24"/>
                <w:lang w:val="en-US" w:eastAsia="zh-CN"/>
              </w:rPr>
              <w:t>刘德华</w:t>
            </w:r>
          </w:p>
        </w:tc>
        <w:tc>
          <w:tcPr>
            <w:tcW w:w="100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47" w:type="dxa"/>
            <w:vMerge w:val="continue"/>
            <w:vAlign w:val="center"/>
          </w:tcPr>
          <w:p/>
        </w:tc>
        <w:tc>
          <w:tcPr>
            <w:tcW w:w="2220" w:type="dxa"/>
            <w:vMerge w:val="continue"/>
            <w:vAlign w:val="center"/>
          </w:tcPr>
          <w:p/>
        </w:tc>
        <w:tc>
          <w:tcPr>
            <w:tcW w:w="10040" w:type="dxa"/>
            <w:vAlign w:val="center"/>
          </w:tcPr>
          <w:p>
            <w:pPr>
              <w:spacing w:line="380" w:lineRule="exact"/>
              <w:rPr>
                <w:rFonts w:hint="default" w:eastAsia="宋体"/>
                <w:sz w:val="24"/>
                <w:szCs w:val="22"/>
                <w:lang w:val="en-US" w:eastAsia="zh-CN"/>
              </w:rPr>
            </w:pPr>
            <w:r>
              <w:rPr>
                <w:rFonts w:hint="eastAsia"/>
                <w:sz w:val="24"/>
                <w:szCs w:val="22"/>
              </w:rPr>
              <w:t>审核员：</w:t>
            </w:r>
            <w:r>
              <w:rPr>
                <w:rFonts w:hint="eastAsia"/>
                <w:sz w:val="24"/>
                <w:szCs w:val="22"/>
                <w:lang w:val="en-US" w:eastAsia="zh-CN"/>
              </w:rPr>
              <w:t>周涛</w:t>
            </w:r>
            <w:r>
              <w:rPr>
                <w:rFonts w:hint="eastAsia"/>
                <w:sz w:val="24"/>
                <w:szCs w:val="22"/>
              </w:rPr>
              <w:t xml:space="preserve">         审核时间：202</w:t>
            </w:r>
            <w:r>
              <w:rPr>
                <w:rFonts w:hint="eastAsia"/>
                <w:sz w:val="24"/>
                <w:szCs w:val="22"/>
                <w:lang w:val="en-US" w:eastAsia="zh-CN"/>
              </w:rPr>
              <w:t>1</w:t>
            </w:r>
            <w:r>
              <w:rPr>
                <w:rFonts w:hint="eastAsia"/>
                <w:sz w:val="24"/>
                <w:szCs w:val="22"/>
              </w:rPr>
              <w:t>.</w:t>
            </w:r>
            <w:r>
              <w:rPr>
                <w:rFonts w:hint="eastAsia"/>
                <w:sz w:val="24"/>
                <w:szCs w:val="22"/>
                <w:lang w:val="en-US" w:eastAsia="zh-CN"/>
              </w:rPr>
              <w:t>3</w:t>
            </w:r>
            <w:r>
              <w:rPr>
                <w:sz w:val="24"/>
                <w:szCs w:val="22"/>
              </w:rPr>
              <w:t>.</w:t>
            </w:r>
            <w:r>
              <w:rPr>
                <w:rFonts w:hint="eastAsia"/>
                <w:sz w:val="24"/>
                <w:szCs w:val="22"/>
                <w:lang w:val="en-US" w:eastAsia="zh-CN"/>
              </w:rPr>
              <w:t>30</w:t>
            </w:r>
          </w:p>
        </w:tc>
        <w:tc>
          <w:tcPr>
            <w:tcW w:w="100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47" w:type="dxa"/>
            <w:vMerge w:val="continue"/>
            <w:vAlign w:val="center"/>
          </w:tcPr>
          <w:p/>
        </w:tc>
        <w:tc>
          <w:tcPr>
            <w:tcW w:w="2220" w:type="dxa"/>
            <w:vMerge w:val="continue"/>
            <w:vAlign w:val="center"/>
          </w:tcPr>
          <w:p/>
        </w:tc>
        <w:tc>
          <w:tcPr>
            <w:tcW w:w="10040" w:type="dxa"/>
            <w:vAlign w:val="center"/>
          </w:tcPr>
          <w:p>
            <w:pPr>
              <w:spacing w:line="380" w:lineRule="exact"/>
              <w:rPr>
                <w:sz w:val="24"/>
                <w:szCs w:val="22"/>
              </w:rPr>
            </w:pPr>
            <w:r>
              <w:rPr>
                <w:sz w:val="24"/>
                <w:szCs w:val="22"/>
              </w:rPr>
              <w:t>组织的岗位、职责权限；能力、培训和意识；信息交流、沟通参与和协商；文件总则、文件和记录控制；运行控制；内部审核；事件、不合格</w:t>
            </w:r>
            <w:r>
              <w:rPr>
                <w:rFonts w:hint="eastAsia"/>
                <w:sz w:val="24"/>
                <w:szCs w:val="22"/>
              </w:rPr>
              <w:t>和</w:t>
            </w:r>
            <w:r>
              <w:rPr>
                <w:sz w:val="24"/>
                <w:szCs w:val="22"/>
              </w:rPr>
              <w:t>纠正措施</w:t>
            </w:r>
            <w:r>
              <w:rPr>
                <w:rFonts w:hint="eastAsia"/>
                <w:sz w:val="24"/>
                <w:szCs w:val="22"/>
              </w:rPr>
              <w:t>；</w:t>
            </w:r>
            <w:r>
              <w:rPr>
                <w:sz w:val="24"/>
                <w:szCs w:val="22"/>
              </w:rPr>
              <w:t>应急准备和响应</w:t>
            </w:r>
          </w:p>
          <w:p>
            <w:pPr>
              <w:spacing w:line="380" w:lineRule="exact"/>
              <w:rPr>
                <w:rFonts w:hint="default" w:eastAsia="宋体"/>
                <w:sz w:val="24"/>
                <w:szCs w:val="22"/>
                <w:lang w:val="en-US" w:eastAsia="zh-CN"/>
              </w:rPr>
            </w:pPr>
            <w:r>
              <w:rPr>
                <w:sz w:val="24"/>
                <w:szCs w:val="22"/>
              </w:rPr>
              <w:t>O5.3/7.2/7.3/7.4/7.5/8.1/8.2/9.2/10.2</w:t>
            </w:r>
            <w:r>
              <w:rPr>
                <w:rFonts w:hint="eastAsia"/>
                <w:sz w:val="24"/>
                <w:szCs w:val="22"/>
              </w:rPr>
              <w:t>；O5.4</w:t>
            </w:r>
            <w:r>
              <w:rPr>
                <w:rFonts w:hint="eastAsia"/>
                <w:sz w:val="24"/>
                <w:szCs w:val="22"/>
                <w:lang w:val="en-US" w:eastAsia="zh-CN"/>
              </w:rPr>
              <w:t xml:space="preserve"> /</w:t>
            </w:r>
            <w:r>
              <w:rPr>
                <w:rFonts w:hint="eastAsia"/>
              </w:rPr>
              <w:t>6.2/6.1.2/6.1.3/8.2/9.1.1/9.1.2</w:t>
            </w:r>
          </w:p>
        </w:tc>
        <w:tc>
          <w:tcPr>
            <w:tcW w:w="100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447" w:type="dxa"/>
          </w:tcPr>
          <w:p>
            <w:pPr>
              <w:widowControl/>
              <w:jc w:val="left"/>
            </w:pPr>
            <w:r>
              <w:rPr>
                <w:rFonts w:hint="eastAsia" w:ascii="宋体" w:hAnsi="宋体" w:cs="宋体"/>
                <w:color w:val="000000"/>
                <w:kern w:val="0"/>
                <w:sz w:val="20"/>
              </w:rPr>
              <w:t>岗位、职责和权限</w:t>
            </w:r>
          </w:p>
        </w:tc>
        <w:tc>
          <w:tcPr>
            <w:tcW w:w="2220" w:type="dxa"/>
          </w:tcPr>
          <w:p>
            <w:pPr>
              <w:pStyle w:val="2"/>
            </w:pPr>
            <w:r>
              <w:rPr>
                <w:szCs w:val="21"/>
              </w:rPr>
              <w:t>O5.3</w:t>
            </w:r>
          </w:p>
        </w:tc>
        <w:tc>
          <w:tcPr>
            <w:tcW w:w="10040" w:type="dxa"/>
          </w:tcPr>
          <w:p>
            <w:pPr>
              <w:spacing w:line="380" w:lineRule="exact"/>
              <w:rPr>
                <w:sz w:val="24"/>
                <w:szCs w:val="22"/>
              </w:rPr>
            </w:pPr>
            <w:r>
              <w:rPr>
                <w:rFonts w:hint="eastAsia"/>
                <w:sz w:val="24"/>
                <w:szCs w:val="22"/>
              </w:rPr>
              <w:t>办公室职责</w:t>
            </w:r>
          </w:p>
          <w:p>
            <w:pPr>
              <w:numPr>
                <w:ilvl w:val="0"/>
                <w:numId w:val="1"/>
              </w:numPr>
              <w:autoSpaceDE w:val="0"/>
              <w:autoSpaceDN w:val="0"/>
              <w:snapToGrid w:val="0"/>
              <w:spacing w:line="390" w:lineRule="exact"/>
              <w:jc w:val="left"/>
              <w:rPr>
                <w:rFonts w:ascii="宋体" w:hAnsi="宋体" w:cs="宋体"/>
                <w:kern w:val="0"/>
                <w:sz w:val="24"/>
              </w:rPr>
            </w:pPr>
            <w:r>
              <w:rPr>
                <w:rFonts w:hint="eastAsia" w:ascii="宋体" w:hAnsi="宋体" w:cs="宋体"/>
                <w:kern w:val="0"/>
                <w:sz w:val="24"/>
              </w:rPr>
              <w:t>负责公司文件和记录的控制；</w:t>
            </w:r>
          </w:p>
          <w:p>
            <w:pPr>
              <w:numPr>
                <w:ilvl w:val="0"/>
                <w:numId w:val="1"/>
              </w:numPr>
              <w:autoSpaceDE w:val="0"/>
              <w:autoSpaceDN w:val="0"/>
              <w:snapToGrid w:val="0"/>
              <w:spacing w:line="390" w:lineRule="exact"/>
              <w:jc w:val="left"/>
              <w:rPr>
                <w:rFonts w:ascii="宋体" w:hAnsi="宋体" w:cs="宋体"/>
                <w:kern w:val="0"/>
                <w:sz w:val="24"/>
              </w:rPr>
            </w:pPr>
            <w:r>
              <w:rPr>
                <w:rFonts w:hint="eastAsia" w:ascii="宋体" w:hAnsi="宋体" w:cs="宋体"/>
                <w:kern w:val="0"/>
                <w:sz w:val="24"/>
              </w:rPr>
              <w:t xml:space="preserve">负责组织知识收集及管理 </w:t>
            </w:r>
          </w:p>
          <w:p>
            <w:pPr>
              <w:numPr>
                <w:ilvl w:val="0"/>
                <w:numId w:val="1"/>
              </w:numPr>
              <w:autoSpaceDE w:val="0"/>
              <w:autoSpaceDN w:val="0"/>
              <w:snapToGrid w:val="0"/>
              <w:spacing w:line="390" w:lineRule="exact"/>
              <w:jc w:val="left"/>
              <w:rPr>
                <w:rFonts w:ascii="宋体" w:hAnsi="宋体" w:cs="宋体"/>
                <w:kern w:val="0"/>
                <w:sz w:val="24"/>
              </w:rPr>
            </w:pPr>
            <w:r>
              <w:rPr>
                <w:rFonts w:hint="eastAsia" w:ascii="宋体" w:hAnsi="宋体" w:cs="宋体"/>
                <w:kern w:val="0"/>
                <w:sz w:val="24"/>
              </w:rPr>
              <w:t>负责人力资源的管理和培训工作；</w:t>
            </w:r>
          </w:p>
          <w:p>
            <w:pPr>
              <w:numPr>
                <w:ilvl w:val="0"/>
                <w:numId w:val="1"/>
              </w:numPr>
              <w:autoSpaceDE w:val="0"/>
              <w:autoSpaceDN w:val="0"/>
              <w:snapToGrid w:val="0"/>
              <w:spacing w:line="390" w:lineRule="exact"/>
              <w:jc w:val="left"/>
              <w:rPr>
                <w:rFonts w:ascii="宋体" w:hAnsi="宋体" w:cs="宋体"/>
                <w:kern w:val="0"/>
                <w:sz w:val="24"/>
              </w:rPr>
            </w:pPr>
            <w:r>
              <w:rPr>
                <w:rFonts w:hint="eastAsia" w:ascii="宋体" w:hAnsi="宋体" w:cs="宋体"/>
                <w:kern w:val="0"/>
                <w:sz w:val="24"/>
              </w:rPr>
              <w:t>负责公司基础设施和工作环境的管理工作。</w:t>
            </w:r>
          </w:p>
          <w:p>
            <w:pPr>
              <w:numPr>
                <w:ilvl w:val="0"/>
                <w:numId w:val="1"/>
              </w:numPr>
              <w:autoSpaceDE w:val="0"/>
              <w:autoSpaceDN w:val="0"/>
              <w:snapToGrid w:val="0"/>
              <w:spacing w:line="390" w:lineRule="exact"/>
              <w:jc w:val="left"/>
              <w:rPr>
                <w:rFonts w:ascii="宋体" w:hAnsi="宋体" w:cs="宋体"/>
                <w:kern w:val="0"/>
                <w:sz w:val="24"/>
              </w:rPr>
            </w:pPr>
            <w:r>
              <w:rPr>
                <w:rFonts w:hint="eastAsia" w:ascii="宋体" w:hAnsi="宋体" w:cs="宋体"/>
                <w:kern w:val="0"/>
                <w:sz w:val="24"/>
              </w:rPr>
              <w:t>负责管理评审的组织工作和内审记录的保管；</w:t>
            </w:r>
          </w:p>
          <w:p>
            <w:pPr>
              <w:numPr>
                <w:ilvl w:val="0"/>
                <w:numId w:val="1"/>
              </w:numPr>
              <w:autoSpaceDE w:val="0"/>
              <w:autoSpaceDN w:val="0"/>
              <w:snapToGrid w:val="0"/>
              <w:spacing w:line="390" w:lineRule="exact"/>
              <w:jc w:val="left"/>
              <w:rPr>
                <w:rFonts w:ascii="宋体" w:hAnsi="宋体" w:cs="宋体"/>
                <w:kern w:val="0"/>
                <w:sz w:val="24"/>
              </w:rPr>
            </w:pPr>
            <w:r>
              <w:rPr>
                <w:rFonts w:hint="eastAsia" w:ascii="宋体" w:hAnsi="宋体" w:cs="宋体"/>
                <w:kern w:val="0"/>
                <w:sz w:val="24"/>
              </w:rPr>
              <w:t>负责公司环境因素的识别、评价的组织工作；</w:t>
            </w:r>
          </w:p>
          <w:p>
            <w:pPr>
              <w:numPr>
                <w:ilvl w:val="0"/>
                <w:numId w:val="1"/>
              </w:numPr>
              <w:autoSpaceDE w:val="0"/>
              <w:autoSpaceDN w:val="0"/>
              <w:snapToGrid w:val="0"/>
              <w:spacing w:line="390" w:lineRule="exact"/>
              <w:jc w:val="left"/>
              <w:rPr>
                <w:rFonts w:ascii="宋体" w:hAnsi="宋体" w:cs="宋体"/>
                <w:kern w:val="0"/>
                <w:sz w:val="24"/>
              </w:rPr>
            </w:pPr>
            <w:r>
              <w:rPr>
                <w:rFonts w:hint="eastAsia" w:ascii="宋体" w:hAnsi="宋体" w:cs="宋体"/>
                <w:kern w:val="0"/>
                <w:sz w:val="24"/>
              </w:rPr>
              <w:t>负责公司危险源的辨识及风险评价和控制的组织管理工作；</w:t>
            </w:r>
          </w:p>
          <w:p>
            <w:pPr>
              <w:numPr>
                <w:ilvl w:val="0"/>
                <w:numId w:val="1"/>
              </w:numPr>
              <w:autoSpaceDE w:val="0"/>
              <w:autoSpaceDN w:val="0"/>
              <w:snapToGrid w:val="0"/>
              <w:spacing w:line="390" w:lineRule="exact"/>
              <w:jc w:val="left"/>
              <w:rPr>
                <w:rFonts w:ascii="宋体" w:hAnsi="宋体" w:cs="宋体"/>
                <w:kern w:val="0"/>
                <w:sz w:val="24"/>
              </w:rPr>
            </w:pPr>
            <w:r>
              <w:rPr>
                <w:rFonts w:hint="eastAsia" w:ascii="宋体" w:hAnsi="宋体" w:cs="宋体"/>
                <w:kern w:val="0"/>
                <w:sz w:val="24"/>
              </w:rPr>
              <w:t>负责提供</w:t>
            </w:r>
            <w:r>
              <w:rPr>
                <w:rFonts w:ascii="宋体" w:hAnsi="宋体" w:cs="宋体"/>
                <w:kern w:val="0"/>
                <w:sz w:val="24"/>
              </w:rPr>
              <w:t>一体化管理体系</w:t>
            </w:r>
            <w:r>
              <w:rPr>
                <w:rFonts w:hint="eastAsia" w:ascii="宋体" w:hAnsi="宋体" w:cs="宋体"/>
                <w:kern w:val="0"/>
                <w:sz w:val="24"/>
              </w:rPr>
              <w:t>运行中所需的资金；</w:t>
            </w:r>
          </w:p>
          <w:p>
            <w:pPr>
              <w:numPr>
                <w:ilvl w:val="0"/>
                <w:numId w:val="1"/>
              </w:numPr>
              <w:autoSpaceDE w:val="0"/>
              <w:autoSpaceDN w:val="0"/>
              <w:snapToGrid w:val="0"/>
              <w:spacing w:line="390" w:lineRule="exact"/>
              <w:jc w:val="left"/>
              <w:rPr>
                <w:rFonts w:ascii="宋体" w:hAnsi="宋体" w:cs="宋体"/>
                <w:kern w:val="0"/>
                <w:sz w:val="24"/>
              </w:rPr>
            </w:pPr>
            <w:r>
              <w:rPr>
                <w:rFonts w:hint="eastAsia" w:ascii="宋体" w:hAnsi="宋体" w:cs="宋体"/>
                <w:kern w:val="0"/>
                <w:sz w:val="24"/>
              </w:rPr>
              <w:t>负责公司与环境、职业健康安全相关的法律、法规和其他要求的收集、管理工作</w:t>
            </w:r>
          </w:p>
          <w:p>
            <w:pPr>
              <w:numPr>
                <w:ilvl w:val="0"/>
                <w:numId w:val="1"/>
              </w:numPr>
              <w:autoSpaceDE w:val="0"/>
              <w:autoSpaceDN w:val="0"/>
              <w:snapToGrid w:val="0"/>
              <w:spacing w:line="390" w:lineRule="exact"/>
              <w:jc w:val="left"/>
              <w:rPr>
                <w:rFonts w:ascii="宋体" w:hAnsi="宋体" w:cs="宋体"/>
                <w:kern w:val="0"/>
                <w:sz w:val="24"/>
              </w:rPr>
            </w:pPr>
            <w:r>
              <w:rPr>
                <w:rFonts w:hint="eastAsia" w:ascii="宋体" w:hAnsi="宋体" w:cs="宋体"/>
                <w:kern w:val="0"/>
                <w:sz w:val="24"/>
              </w:rPr>
              <w:t>负责公司环境、职业健康安全工作的对外交流工作和内部信息沟通工作</w:t>
            </w:r>
          </w:p>
          <w:p>
            <w:pPr>
              <w:numPr>
                <w:ilvl w:val="0"/>
                <w:numId w:val="1"/>
              </w:numPr>
              <w:autoSpaceDE w:val="0"/>
              <w:autoSpaceDN w:val="0"/>
              <w:snapToGrid w:val="0"/>
              <w:spacing w:line="390" w:lineRule="exact"/>
              <w:jc w:val="left"/>
              <w:rPr>
                <w:rFonts w:ascii="宋体" w:hAnsi="宋体" w:cs="宋体"/>
                <w:kern w:val="0"/>
                <w:sz w:val="24"/>
              </w:rPr>
            </w:pPr>
            <w:r>
              <w:rPr>
                <w:rFonts w:hint="eastAsia" w:ascii="宋体" w:hAnsi="宋体" w:cs="宋体"/>
                <w:kern w:val="0"/>
                <w:sz w:val="24"/>
              </w:rPr>
              <w:t>负责环境、安全运行的情况的检查；</w:t>
            </w:r>
          </w:p>
          <w:p>
            <w:pPr>
              <w:numPr>
                <w:ilvl w:val="0"/>
                <w:numId w:val="1"/>
              </w:numPr>
              <w:autoSpaceDE w:val="0"/>
              <w:autoSpaceDN w:val="0"/>
              <w:snapToGrid w:val="0"/>
              <w:spacing w:line="390" w:lineRule="exact"/>
              <w:jc w:val="left"/>
              <w:rPr>
                <w:rFonts w:ascii="宋体" w:hAnsi="宋体" w:cs="宋体"/>
                <w:kern w:val="0"/>
                <w:sz w:val="24"/>
              </w:rPr>
            </w:pPr>
            <w:r>
              <w:rPr>
                <w:rFonts w:hint="eastAsia" w:ascii="宋体" w:hAnsi="宋体" w:cs="宋体"/>
                <w:kern w:val="0"/>
                <w:sz w:val="24"/>
              </w:rPr>
              <w:t>负责公司应急准备和响应的管理工作；</w:t>
            </w:r>
          </w:p>
          <w:p>
            <w:pPr>
              <w:numPr>
                <w:ilvl w:val="0"/>
                <w:numId w:val="1"/>
              </w:numPr>
              <w:autoSpaceDE w:val="0"/>
              <w:autoSpaceDN w:val="0"/>
              <w:snapToGrid w:val="0"/>
              <w:spacing w:line="390" w:lineRule="exact"/>
              <w:jc w:val="left"/>
              <w:rPr>
                <w:rFonts w:ascii="宋体" w:hAnsi="宋体" w:cs="宋体"/>
                <w:kern w:val="0"/>
                <w:sz w:val="24"/>
              </w:rPr>
            </w:pPr>
            <w:r>
              <w:rPr>
                <w:rFonts w:hint="eastAsia" w:ascii="宋体" w:hAnsi="宋体" w:cs="宋体"/>
                <w:kern w:val="0"/>
                <w:sz w:val="24"/>
              </w:rPr>
              <w:t>负责公司遵循适用的法律法规和其他要求的合规性评价工作。</w:t>
            </w:r>
          </w:p>
          <w:p>
            <w:pPr>
              <w:autoSpaceDE w:val="0"/>
              <w:autoSpaceDN w:val="0"/>
              <w:snapToGrid w:val="0"/>
              <w:spacing w:line="390" w:lineRule="exact"/>
              <w:jc w:val="left"/>
              <w:rPr>
                <w:sz w:val="24"/>
                <w:szCs w:val="22"/>
              </w:rPr>
            </w:pPr>
            <w:r>
              <w:rPr>
                <w:rFonts w:hint="eastAsia"/>
                <w:sz w:val="24"/>
                <w:szCs w:val="22"/>
              </w:rPr>
              <w:t>询问办公室主任</w:t>
            </w:r>
            <w:r>
              <w:rPr>
                <w:rFonts w:hint="eastAsia" w:ascii="宋体" w:hAnsi="宋体" w:cs="宋体"/>
                <w:kern w:val="0"/>
                <w:sz w:val="24"/>
                <w:szCs w:val="24"/>
              </w:rPr>
              <w:t>白金荣，职责回答明确。</w:t>
            </w:r>
          </w:p>
        </w:tc>
        <w:tc>
          <w:tcPr>
            <w:tcW w:w="1002" w:type="dxa"/>
          </w:tcPr>
          <w:p>
            <w:pPr>
              <w:pStyle w:val="2"/>
            </w:pPr>
          </w:p>
          <w:p>
            <w:pPr>
              <w:pStyle w:val="2"/>
            </w:pPr>
          </w:p>
          <w:p>
            <w:pPr>
              <w:pStyle w:val="2"/>
            </w:pPr>
          </w:p>
          <w:p>
            <w:pPr>
              <w:pStyle w:val="2"/>
            </w:pPr>
          </w:p>
          <w:p>
            <w:pPr>
              <w:pStyle w:val="2"/>
            </w:pPr>
          </w:p>
          <w:p>
            <w:pPr>
              <w:pStyle w:val="2"/>
              <w:ind w:firstLine="230" w:firstLineChars="100"/>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447" w:type="dxa"/>
          </w:tcPr>
          <w:p>
            <w:pPr>
              <w:widowControl/>
              <w:jc w:val="left"/>
              <w:rPr>
                <w:sz w:val="24"/>
                <w:szCs w:val="22"/>
              </w:rPr>
            </w:pPr>
            <w:r>
              <w:rPr>
                <w:sz w:val="24"/>
                <w:szCs w:val="22"/>
              </w:rPr>
              <w:t>能力；意识</w:t>
            </w:r>
          </w:p>
        </w:tc>
        <w:tc>
          <w:tcPr>
            <w:tcW w:w="2220" w:type="dxa"/>
          </w:tcPr>
          <w:p>
            <w:pPr>
              <w:pStyle w:val="2"/>
            </w:pPr>
            <w:r>
              <w:rPr>
                <w:szCs w:val="21"/>
              </w:rPr>
              <w:t>O</w:t>
            </w:r>
            <w:r>
              <w:rPr>
                <w:rFonts w:hint="eastAsia"/>
                <w:szCs w:val="21"/>
              </w:rPr>
              <w:t>：</w:t>
            </w:r>
            <w:r>
              <w:rPr>
                <w:szCs w:val="21"/>
              </w:rPr>
              <w:t>7.2/7.3</w:t>
            </w:r>
          </w:p>
        </w:tc>
        <w:tc>
          <w:tcPr>
            <w:tcW w:w="10040" w:type="dxa"/>
          </w:tcPr>
          <w:p>
            <w:pPr>
              <w:pStyle w:val="14"/>
              <w:spacing w:line="360" w:lineRule="exact"/>
              <w:ind w:firstLine="0" w:firstLineChars="0"/>
              <w:jc w:val="left"/>
              <w:rPr>
                <w:kern w:val="2"/>
                <w:sz w:val="24"/>
                <w:szCs w:val="22"/>
              </w:rPr>
            </w:pPr>
            <w:r>
              <w:rPr>
                <w:rFonts w:hint="eastAsia"/>
                <w:kern w:val="2"/>
                <w:sz w:val="24"/>
                <w:szCs w:val="22"/>
              </w:rPr>
              <w:t>公司办公室确定影响产品和服务质量的各岗位人员的素质要求，包括人员的教育、培训、技能和经验要求，并按该要求进行评价配备人力资源，使其有能力胜任本职工作。</w:t>
            </w:r>
          </w:p>
          <w:p>
            <w:pPr>
              <w:pStyle w:val="14"/>
              <w:spacing w:line="360" w:lineRule="exact"/>
              <w:ind w:firstLine="0" w:firstLineChars="0"/>
              <w:jc w:val="left"/>
              <w:rPr>
                <w:kern w:val="2"/>
                <w:sz w:val="24"/>
                <w:szCs w:val="22"/>
              </w:rPr>
            </w:pPr>
            <w:r>
              <w:rPr>
                <w:rFonts w:hint="eastAsia"/>
                <w:kern w:val="2"/>
                <w:sz w:val="24"/>
                <w:szCs w:val="22"/>
              </w:rPr>
              <w:t>办公室按照职责权限要求和岗位说明书进行人员招聘。</w:t>
            </w:r>
          </w:p>
          <w:p>
            <w:pPr>
              <w:pStyle w:val="14"/>
              <w:spacing w:line="360" w:lineRule="exact"/>
              <w:ind w:firstLine="0" w:firstLineChars="0"/>
              <w:jc w:val="left"/>
              <w:rPr>
                <w:kern w:val="2"/>
                <w:sz w:val="24"/>
                <w:szCs w:val="22"/>
              </w:rPr>
            </w:pPr>
            <w:r>
              <w:rPr>
                <w:rFonts w:hint="eastAsia"/>
                <w:kern w:val="2"/>
                <w:sz w:val="24"/>
                <w:szCs w:val="22"/>
              </w:rPr>
              <w:t>制定了年度培训计划，查培训计划与培训内容，所策划和实施的培训内容，技能要求符合企业实际需求，人员能力基本胜任</w:t>
            </w:r>
          </w:p>
          <w:p>
            <w:pPr>
              <w:pStyle w:val="14"/>
              <w:spacing w:line="360" w:lineRule="exact"/>
              <w:ind w:firstLine="0" w:firstLineChars="0"/>
              <w:jc w:val="left"/>
              <w:rPr>
                <w:kern w:val="2"/>
                <w:sz w:val="24"/>
                <w:szCs w:val="22"/>
              </w:rPr>
            </w:pPr>
            <w:r>
              <w:rPr>
                <w:rFonts w:hint="eastAsia"/>
                <w:kern w:val="2"/>
                <w:sz w:val="24"/>
                <w:szCs w:val="22"/>
              </w:rPr>
              <w:t>查岗位清单和所提供的岗位职责与任职要求，对本部门负责人及各个岗位人员的任职及能力要求做出了规定。包括教育、培训、技能、经验（从事本岗位的工作年限）；</w:t>
            </w:r>
          </w:p>
          <w:p>
            <w:pPr>
              <w:pStyle w:val="14"/>
              <w:spacing w:line="360" w:lineRule="exact"/>
              <w:ind w:firstLine="480"/>
              <w:jc w:val="left"/>
              <w:rPr>
                <w:sz w:val="24"/>
                <w:szCs w:val="22"/>
              </w:rPr>
            </w:pPr>
            <w:r>
              <w:rPr>
                <w:rFonts w:hint="eastAsia"/>
                <w:sz w:val="24"/>
                <w:szCs w:val="22"/>
              </w:rPr>
              <w:t>提供“2020年度培训计划”共5项，覆盖标准、体系文件等方面，目前部分实施完成。</w:t>
            </w:r>
          </w:p>
          <w:p>
            <w:pPr>
              <w:pStyle w:val="14"/>
              <w:spacing w:line="360" w:lineRule="exact"/>
              <w:ind w:firstLine="480"/>
              <w:jc w:val="left"/>
              <w:rPr>
                <w:sz w:val="24"/>
                <w:szCs w:val="22"/>
              </w:rPr>
            </w:pPr>
            <w:r>
              <w:rPr>
                <w:rFonts w:hint="eastAsia"/>
                <w:sz w:val="24"/>
                <w:szCs w:val="22"/>
              </w:rPr>
              <w:t>查内部培训记录，提供《培训记录表》</w:t>
            </w:r>
          </w:p>
          <w:p>
            <w:pPr>
              <w:pStyle w:val="14"/>
              <w:spacing w:line="360" w:lineRule="exact"/>
              <w:ind w:firstLine="480"/>
              <w:jc w:val="left"/>
              <w:rPr>
                <w:sz w:val="24"/>
                <w:szCs w:val="22"/>
              </w:rPr>
            </w:pPr>
            <w:r>
              <w:rPr>
                <w:sz w:val="24"/>
                <w:szCs w:val="22"/>
              </w:rPr>
              <w:t>20</w:t>
            </w:r>
            <w:r>
              <w:rPr>
                <w:rFonts w:hint="eastAsia"/>
                <w:sz w:val="24"/>
                <w:szCs w:val="22"/>
              </w:rPr>
              <w:t>20.2.15培训题目：宣贯标准；培训方式：讲课，包括：培训内容摘要、考核方式和成绩、培训有效性评价。培训有效。</w:t>
            </w:r>
          </w:p>
          <w:p>
            <w:pPr>
              <w:pStyle w:val="14"/>
              <w:spacing w:line="360" w:lineRule="exact"/>
              <w:ind w:firstLine="480"/>
              <w:jc w:val="left"/>
              <w:rPr>
                <w:sz w:val="24"/>
                <w:szCs w:val="22"/>
              </w:rPr>
            </w:pPr>
            <w:r>
              <w:rPr>
                <w:sz w:val="24"/>
                <w:szCs w:val="22"/>
              </w:rPr>
              <w:t>20</w:t>
            </w:r>
            <w:r>
              <w:rPr>
                <w:rFonts w:hint="eastAsia"/>
                <w:sz w:val="24"/>
                <w:szCs w:val="22"/>
              </w:rPr>
              <w:t>20.5.20培训题目：宣贯本公司体系文件；培训方式：讲课，包括：培训内容摘要、考核方式和成绩、培训有效性评价。培训有效。</w:t>
            </w:r>
          </w:p>
          <w:p>
            <w:pPr>
              <w:pStyle w:val="14"/>
              <w:spacing w:line="360" w:lineRule="exact"/>
              <w:ind w:firstLine="0" w:firstLineChars="0"/>
              <w:jc w:val="left"/>
              <w:rPr>
                <w:kern w:val="2"/>
                <w:sz w:val="24"/>
                <w:szCs w:val="22"/>
              </w:rPr>
            </w:pPr>
            <w:r>
              <w:rPr>
                <w:rFonts w:hint="eastAsia"/>
                <w:kern w:val="2"/>
                <w:sz w:val="24"/>
                <w:szCs w:val="22"/>
              </w:rPr>
              <w:t>公司的员工档案管理实现了一人一档，内容详细，符合要求。</w:t>
            </w:r>
          </w:p>
          <w:p>
            <w:pPr>
              <w:pStyle w:val="14"/>
              <w:spacing w:line="360" w:lineRule="exact"/>
              <w:ind w:firstLine="0" w:firstLineChars="0"/>
              <w:jc w:val="left"/>
              <w:rPr>
                <w:kern w:val="2"/>
                <w:sz w:val="24"/>
                <w:szCs w:val="22"/>
              </w:rPr>
            </w:pPr>
            <w:r>
              <w:rPr>
                <w:rFonts w:hint="eastAsia"/>
                <w:kern w:val="2"/>
                <w:sz w:val="24"/>
                <w:szCs w:val="22"/>
              </w:rPr>
              <w:t>通过沟通得知，组织通过招聘适宜的人员和组织内部员工进行培训的方式提升员工的质量意识水平；</w:t>
            </w:r>
          </w:p>
          <w:p>
            <w:pPr>
              <w:pStyle w:val="14"/>
              <w:spacing w:line="360" w:lineRule="exact"/>
              <w:ind w:firstLine="0" w:firstLineChars="0"/>
              <w:jc w:val="left"/>
              <w:rPr>
                <w:kern w:val="2"/>
                <w:sz w:val="24"/>
                <w:szCs w:val="22"/>
              </w:rPr>
            </w:pPr>
            <w:r>
              <w:rPr>
                <w:rFonts w:hint="eastAsia"/>
                <w:kern w:val="2"/>
                <w:sz w:val="24"/>
                <w:szCs w:val="22"/>
              </w:rPr>
              <w:t>组织以培训、沟通、表扬等形式，激励员工认识到自己从事工作的重要性，使之为实现公司质量目标而努力，作出自己的贡献。</w:t>
            </w:r>
          </w:p>
          <w:p>
            <w:pPr>
              <w:pStyle w:val="14"/>
              <w:spacing w:line="360" w:lineRule="exact"/>
              <w:ind w:firstLine="0" w:firstLineChars="0"/>
              <w:jc w:val="left"/>
              <w:rPr>
                <w:kern w:val="2"/>
                <w:sz w:val="24"/>
                <w:szCs w:val="22"/>
              </w:rPr>
            </w:pPr>
            <w:r>
              <w:rPr>
                <w:rFonts w:hint="eastAsia"/>
                <w:kern w:val="2"/>
                <w:sz w:val="24"/>
                <w:szCs w:val="22"/>
              </w:rPr>
              <w:t>交流得知，组织就质量管理体系的有效性通过相关会议、通知、文件、公告、邮件、培训等进行内部沟通。通过电话、邮件、顾客满意度调查等方式进行相关方沟通；</w:t>
            </w:r>
          </w:p>
          <w:p>
            <w:pPr>
              <w:rPr>
                <w:sz w:val="24"/>
                <w:szCs w:val="22"/>
              </w:rPr>
            </w:pPr>
          </w:p>
        </w:tc>
        <w:tc>
          <w:tcPr>
            <w:tcW w:w="1002" w:type="dxa"/>
          </w:tcPr>
          <w:p>
            <w:pPr>
              <w:pStyle w:val="2"/>
              <w:ind w:firstLine="230" w:firstLineChars="100"/>
            </w:pPr>
          </w:p>
          <w:p>
            <w:pPr>
              <w:pStyle w:val="2"/>
              <w:ind w:firstLine="230" w:firstLineChars="100"/>
            </w:pPr>
          </w:p>
          <w:p>
            <w:pPr>
              <w:pStyle w:val="2"/>
              <w:ind w:firstLine="230" w:firstLineChars="100"/>
            </w:pPr>
          </w:p>
          <w:p>
            <w:pPr>
              <w:pStyle w:val="2"/>
              <w:ind w:firstLine="230" w:firstLineChars="100"/>
            </w:pPr>
          </w:p>
          <w:p>
            <w:pPr>
              <w:pStyle w:val="2"/>
              <w:ind w:firstLine="230" w:firstLineChars="100"/>
            </w:pPr>
          </w:p>
          <w:p>
            <w:pPr>
              <w:pStyle w:val="2"/>
              <w:ind w:firstLine="230" w:firstLineChars="100"/>
            </w:pPr>
          </w:p>
          <w:p>
            <w:pPr>
              <w:pStyle w:val="2"/>
              <w:ind w:firstLine="230" w:firstLineChars="100"/>
            </w:pPr>
          </w:p>
          <w:p>
            <w:pPr>
              <w:pStyle w:val="2"/>
              <w:ind w:firstLine="230" w:firstLineChars="100"/>
            </w:pPr>
          </w:p>
          <w:p>
            <w:pPr>
              <w:pStyle w:val="2"/>
              <w:ind w:firstLine="230" w:firstLineChars="100"/>
            </w:pPr>
          </w:p>
          <w:p>
            <w:pPr>
              <w:pStyle w:val="2"/>
              <w:ind w:firstLine="230" w:firstLineChars="100"/>
            </w:pPr>
          </w:p>
          <w:p>
            <w:pPr>
              <w:pStyle w:val="2"/>
              <w:ind w:firstLine="230" w:firstLineChars="100"/>
            </w:pPr>
          </w:p>
          <w:p>
            <w:pPr>
              <w:pStyle w:val="2"/>
              <w:ind w:firstLine="230" w:firstLineChars="100"/>
            </w:pPr>
          </w:p>
          <w:p>
            <w:pPr>
              <w:pStyle w:val="2"/>
              <w:ind w:firstLine="230" w:firstLineChars="100"/>
            </w:pPr>
          </w:p>
          <w:p>
            <w:pPr>
              <w:pStyle w:val="2"/>
              <w:ind w:firstLine="230" w:firstLineChars="100"/>
            </w:pPr>
          </w:p>
          <w:p>
            <w:pPr>
              <w:pStyle w:val="2"/>
              <w:ind w:firstLine="230" w:firstLineChars="100"/>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447" w:type="dxa"/>
          </w:tcPr>
          <w:p>
            <w:pPr>
              <w:widowControl/>
              <w:jc w:val="left"/>
              <w:rPr>
                <w:sz w:val="24"/>
                <w:szCs w:val="22"/>
              </w:rPr>
            </w:pPr>
            <w:r>
              <w:rPr>
                <w:szCs w:val="21"/>
              </w:rPr>
              <w:t>信息交流、沟通参与和协商</w:t>
            </w:r>
          </w:p>
        </w:tc>
        <w:tc>
          <w:tcPr>
            <w:tcW w:w="2220" w:type="dxa"/>
          </w:tcPr>
          <w:p>
            <w:pPr>
              <w:pStyle w:val="2"/>
            </w:pPr>
            <w:r>
              <w:rPr>
                <w:szCs w:val="21"/>
              </w:rPr>
              <w:t>O7.4</w:t>
            </w:r>
          </w:p>
        </w:tc>
        <w:tc>
          <w:tcPr>
            <w:tcW w:w="10040" w:type="dxa"/>
          </w:tcPr>
          <w:p>
            <w:pPr>
              <w:pStyle w:val="14"/>
              <w:spacing w:line="360" w:lineRule="exact"/>
              <w:ind w:firstLine="0" w:firstLineChars="0"/>
              <w:jc w:val="left"/>
              <w:rPr>
                <w:kern w:val="2"/>
                <w:sz w:val="24"/>
                <w:szCs w:val="22"/>
              </w:rPr>
            </w:pPr>
            <w:r>
              <w:rPr>
                <w:rFonts w:hint="eastAsia"/>
                <w:kern w:val="2"/>
                <w:sz w:val="24"/>
                <w:szCs w:val="22"/>
              </w:rPr>
              <w:t>总经理创造使员工参与管理体系事务的氛围。</w:t>
            </w:r>
          </w:p>
          <w:p>
            <w:pPr>
              <w:pStyle w:val="14"/>
              <w:spacing w:line="360" w:lineRule="exact"/>
              <w:ind w:firstLine="0" w:firstLineChars="0"/>
              <w:jc w:val="left"/>
              <w:rPr>
                <w:kern w:val="2"/>
                <w:sz w:val="24"/>
                <w:szCs w:val="22"/>
              </w:rPr>
            </w:pPr>
            <w:r>
              <w:rPr>
                <w:rFonts w:hint="eastAsia"/>
                <w:kern w:val="2"/>
                <w:sz w:val="24"/>
                <w:szCs w:val="22"/>
              </w:rPr>
              <w:t>公司办公室就质量、环境、职业健康安全信息在企业各层次及相关方进行沟通。员工要了解关于参与的安排事宜，员工要了解谁是职业健康安全的员工代表和指定的体系负责人。</w:t>
            </w:r>
          </w:p>
          <w:p>
            <w:pPr>
              <w:pStyle w:val="14"/>
              <w:spacing w:line="360" w:lineRule="exact"/>
              <w:ind w:firstLine="0" w:firstLineChars="0"/>
              <w:jc w:val="left"/>
              <w:rPr>
                <w:kern w:val="2"/>
                <w:sz w:val="24"/>
                <w:szCs w:val="22"/>
              </w:rPr>
            </w:pPr>
            <w:r>
              <w:rPr>
                <w:rFonts w:hint="eastAsia"/>
                <w:kern w:val="2"/>
                <w:sz w:val="24"/>
                <w:szCs w:val="22"/>
              </w:rPr>
              <w:t>公司鼓励非管理类员工参与下述活动： </w:t>
            </w:r>
          </w:p>
          <w:p>
            <w:pPr>
              <w:pStyle w:val="14"/>
              <w:spacing w:line="360" w:lineRule="exact"/>
              <w:ind w:firstLine="0" w:firstLineChars="0"/>
              <w:jc w:val="left"/>
              <w:rPr>
                <w:kern w:val="2"/>
                <w:sz w:val="24"/>
                <w:szCs w:val="22"/>
              </w:rPr>
            </w:pPr>
            <w:r>
              <w:rPr>
                <w:rFonts w:hint="eastAsia"/>
                <w:kern w:val="2"/>
                <w:sz w:val="24"/>
                <w:szCs w:val="22"/>
              </w:rPr>
              <w:t>—确定他们参与和协商的机制；  —危险源辨识和风险评价； —控制危险源和风险的措施； —识别能力、培训和培训评价的需求；—确定需要沟通的信息以及如何沟通； —确定控制措施及其有效应用； —调查事件和不符合并确定纠正措施； </w:t>
            </w:r>
          </w:p>
          <w:p>
            <w:pPr>
              <w:pStyle w:val="14"/>
              <w:spacing w:line="360" w:lineRule="exact"/>
              <w:ind w:firstLine="0" w:firstLineChars="0"/>
              <w:jc w:val="left"/>
              <w:rPr>
                <w:kern w:val="2"/>
                <w:sz w:val="24"/>
                <w:szCs w:val="22"/>
              </w:rPr>
            </w:pPr>
            <w:r>
              <w:rPr>
                <w:rFonts w:hint="eastAsia"/>
                <w:kern w:val="2"/>
                <w:sz w:val="24"/>
                <w:szCs w:val="22"/>
              </w:rPr>
              <w:t>公司鼓励非管理类员工参与协商下述活动： </w:t>
            </w:r>
          </w:p>
          <w:p>
            <w:pPr>
              <w:pStyle w:val="14"/>
              <w:spacing w:line="360" w:lineRule="exact"/>
              <w:ind w:firstLine="0" w:firstLineChars="0"/>
              <w:jc w:val="left"/>
              <w:rPr>
                <w:kern w:val="2"/>
                <w:sz w:val="24"/>
                <w:szCs w:val="22"/>
              </w:rPr>
            </w:pPr>
            <w:r>
              <w:rPr>
                <w:rFonts w:hint="eastAsia"/>
                <w:kern w:val="2"/>
                <w:sz w:val="24"/>
                <w:szCs w:val="22"/>
              </w:rPr>
              <w:t>—确定相关方的需求和期望； —制定方针；  —适用时分配组织的岗位、职责、责任和权限； —确定如何应用法律法规要求和其他要求； —制定职业健康安全目标；  —确定哪些需要监视、测量和评价； —策划、建立、实施并保持一个或多个审核方案； —建立一个或多个持续改进过程。</w:t>
            </w:r>
          </w:p>
          <w:p>
            <w:pPr>
              <w:pStyle w:val="14"/>
              <w:spacing w:line="360" w:lineRule="exact"/>
              <w:ind w:firstLine="0" w:firstLineChars="0"/>
              <w:jc w:val="left"/>
              <w:rPr>
                <w:kern w:val="2"/>
                <w:sz w:val="24"/>
                <w:szCs w:val="22"/>
              </w:rPr>
            </w:pPr>
            <w:r>
              <w:rPr>
                <w:rFonts w:hint="eastAsia"/>
                <w:kern w:val="2"/>
                <w:sz w:val="24"/>
                <w:szCs w:val="22"/>
              </w:rPr>
              <w:t>沟通的主要方式有通知、会议、合同、满意度调查表、内部网络、表格传递、视频、QQ、微信等，沟通交流畅通，符合要求。</w:t>
            </w:r>
          </w:p>
          <w:p>
            <w:pPr>
              <w:pStyle w:val="14"/>
              <w:spacing w:line="360" w:lineRule="exact"/>
              <w:ind w:firstLine="0" w:firstLineChars="0"/>
              <w:jc w:val="left"/>
              <w:rPr>
                <w:kern w:val="2"/>
                <w:sz w:val="24"/>
                <w:szCs w:val="22"/>
              </w:rPr>
            </w:pPr>
          </w:p>
        </w:tc>
        <w:tc>
          <w:tcPr>
            <w:tcW w:w="1002" w:type="dxa"/>
          </w:tcPr>
          <w:p>
            <w:pPr>
              <w:pStyle w:val="2"/>
              <w:ind w:firstLine="230" w:firstLineChars="100"/>
            </w:pPr>
          </w:p>
          <w:p>
            <w:pPr>
              <w:pStyle w:val="2"/>
              <w:ind w:firstLine="230" w:firstLineChars="100"/>
            </w:pPr>
          </w:p>
          <w:p>
            <w:pPr>
              <w:pStyle w:val="2"/>
              <w:ind w:firstLine="230" w:firstLineChars="100"/>
            </w:pPr>
          </w:p>
          <w:p>
            <w:pPr>
              <w:pStyle w:val="2"/>
              <w:ind w:firstLine="230" w:firstLineChars="100"/>
            </w:pPr>
          </w:p>
          <w:p>
            <w:pPr>
              <w:pStyle w:val="2"/>
              <w:ind w:firstLine="230" w:firstLineChars="100"/>
            </w:pPr>
          </w:p>
          <w:p>
            <w:pPr>
              <w:pStyle w:val="2"/>
              <w:ind w:firstLine="230" w:firstLineChars="100"/>
            </w:pPr>
          </w:p>
          <w:p>
            <w:pPr>
              <w:pStyle w:val="2"/>
              <w:ind w:firstLine="230" w:firstLineChars="100"/>
            </w:pPr>
          </w:p>
          <w:p>
            <w:pPr>
              <w:pStyle w:val="2"/>
              <w:ind w:firstLine="230" w:firstLineChars="100"/>
            </w:pPr>
          </w:p>
          <w:p>
            <w:pPr>
              <w:pStyle w:val="2"/>
              <w:ind w:firstLine="230" w:firstLineChars="100"/>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447" w:type="dxa"/>
          </w:tcPr>
          <w:p>
            <w:pPr>
              <w:widowControl/>
              <w:jc w:val="left"/>
              <w:rPr>
                <w:sz w:val="24"/>
                <w:szCs w:val="22"/>
              </w:rPr>
            </w:pPr>
            <w:r>
              <w:rPr>
                <w:szCs w:val="21"/>
              </w:rPr>
              <w:t>文件和记录控制</w:t>
            </w:r>
          </w:p>
        </w:tc>
        <w:tc>
          <w:tcPr>
            <w:tcW w:w="2220" w:type="dxa"/>
          </w:tcPr>
          <w:p>
            <w:pPr>
              <w:pStyle w:val="2"/>
              <w:rPr>
                <w:szCs w:val="21"/>
              </w:rPr>
            </w:pPr>
            <w:r>
              <w:rPr>
                <w:szCs w:val="21"/>
              </w:rPr>
              <w:t>O7.5</w:t>
            </w:r>
          </w:p>
        </w:tc>
        <w:tc>
          <w:tcPr>
            <w:tcW w:w="10040" w:type="dxa"/>
            <w:vAlign w:val="center"/>
          </w:tcPr>
          <w:p>
            <w:pPr>
              <w:pStyle w:val="14"/>
              <w:spacing w:line="360" w:lineRule="exact"/>
              <w:ind w:firstLine="0" w:firstLineChars="0"/>
              <w:jc w:val="left"/>
              <w:rPr>
                <w:kern w:val="2"/>
                <w:sz w:val="24"/>
                <w:szCs w:val="22"/>
              </w:rPr>
            </w:pPr>
            <w:r>
              <w:rPr>
                <w:rFonts w:hint="eastAsia"/>
                <w:kern w:val="2"/>
                <w:sz w:val="24"/>
                <w:szCs w:val="22"/>
              </w:rPr>
              <w:t>公司建立并保持了《文件控制程序》、《记录控制程序》，批准：总经理，陈喜；对成文信息的控制进行了策划和规定；</w:t>
            </w:r>
          </w:p>
          <w:p>
            <w:pPr>
              <w:pStyle w:val="14"/>
              <w:spacing w:line="360" w:lineRule="exact"/>
              <w:ind w:firstLine="0" w:firstLineChars="0"/>
              <w:jc w:val="left"/>
              <w:rPr>
                <w:sz w:val="24"/>
                <w:szCs w:val="22"/>
              </w:rPr>
            </w:pPr>
            <w:r>
              <w:rPr>
                <w:rFonts w:hint="eastAsia"/>
                <w:sz w:val="24"/>
                <w:szCs w:val="22"/>
              </w:rPr>
              <w:t>1.管理手册ES/LT-SC-2020  A/0版，2020年2月1日发表实施（含管理方针、目标）</w:t>
            </w:r>
          </w:p>
          <w:p>
            <w:pPr>
              <w:pStyle w:val="14"/>
              <w:spacing w:line="360" w:lineRule="exact"/>
              <w:ind w:firstLine="0" w:firstLineChars="0"/>
              <w:jc w:val="left"/>
              <w:rPr>
                <w:sz w:val="24"/>
                <w:szCs w:val="22"/>
              </w:rPr>
            </w:pPr>
            <w:r>
              <w:rPr>
                <w:rFonts w:hint="eastAsia"/>
                <w:sz w:val="24"/>
                <w:szCs w:val="22"/>
              </w:rPr>
              <w:t>2.程序文件LT/CX—2020 A/0版，2020年2月1日发表实施，包括标准要求的程序</w:t>
            </w:r>
          </w:p>
          <w:p>
            <w:pPr>
              <w:pStyle w:val="14"/>
              <w:spacing w:line="360" w:lineRule="exact"/>
              <w:ind w:firstLine="0" w:firstLineChars="0"/>
              <w:jc w:val="left"/>
              <w:rPr>
                <w:sz w:val="24"/>
                <w:szCs w:val="22"/>
              </w:rPr>
            </w:pPr>
            <w:r>
              <w:rPr>
                <w:rFonts w:hint="eastAsia"/>
                <w:sz w:val="24"/>
                <w:szCs w:val="22"/>
              </w:rPr>
              <w:t>3.制度规范，包括：岗位任职条件、办公室管理规定、岗位责任制度等。</w:t>
            </w:r>
          </w:p>
          <w:p>
            <w:pPr>
              <w:pStyle w:val="14"/>
              <w:spacing w:line="360" w:lineRule="exact"/>
              <w:ind w:firstLine="0" w:firstLineChars="0"/>
              <w:jc w:val="left"/>
              <w:rPr>
                <w:kern w:val="2"/>
                <w:sz w:val="24"/>
                <w:szCs w:val="22"/>
              </w:rPr>
            </w:pPr>
            <w:r>
              <w:rPr>
                <w:rFonts w:hint="eastAsia"/>
                <w:kern w:val="2"/>
                <w:sz w:val="24"/>
                <w:szCs w:val="22"/>
              </w:rPr>
              <w:t>4，组织对文件进行了识别和保持，确保文件能为需要的人员及时获取；提供了《文件发放回收记录表》，将体系文件发放到各部门。有各部门领用人员签字。提供了《记录清单》，涉及一体化管理体系的记录有85个，对记录的编号也进行了规定。</w:t>
            </w:r>
          </w:p>
          <w:p>
            <w:pPr>
              <w:pStyle w:val="14"/>
              <w:spacing w:line="360" w:lineRule="exact"/>
              <w:ind w:firstLine="0" w:firstLineChars="0"/>
              <w:jc w:val="left"/>
              <w:rPr>
                <w:kern w:val="2"/>
                <w:sz w:val="24"/>
                <w:szCs w:val="22"/>
              </w:rPr>
            </w:pPr>
            <w:r>
              <w:rPr>
                <w:rFonts w:hint="eastAsia"/>
                <w:kern w:val="2"/>
                <w:sz w:val="24"/>
                <w:szCs w:val="22"/>
              </w:rPr>
              <w:t>编号具有唯一性。</w:t>
            </w:r>
          </w:p>
          <w:p>
            <w:pPr>
              <w:pStyle w:val="14"/>
              <w:spacing w:line="360" w:lineRule="exact"/>
              <w:ind w:firstLine="0" w:firstLineChars="0"/>
              <w:jc w:val="left"/>
              <w:rPr>
                <w:kern w:val="2"/>
                <w:sz w:val="24"/>
                <w:szCs w:val="22"/>
              </w:rPr>
            </w:pPr>
            <w:r>
              <w:rPr>
                <w:rFonts w:hint="eastAsia"/>
                <w:kern w:val="2"/>
                <w:sz w:val="24"/>
                <w:szCs w:val="22"/>
              </w:rPr>
              <w:t>查阅了记录收集情况，以上两种记录收集情况较好，记录清晰，保存在文件夹中，并存放于文件柜中，保存符合要求。查阅其它记录，</w:t>
            </w:r>
          </w:p>
          <w:p>
            <w:pPr>
              <w:pStyle w:val="14"/>
              <w:spacing w:line="360" w:lineRule="exact"/>
              <w:ind w:firstLine="0" w:firstLineChars="0"/>
              <w:jc w:val="left"/>
              <w:rPr>
                <w:kern w:val="2"/>
                <w:sz w:val="24"/>
                <w:szCs w:val="22"/>
              </w:rPr>
            </w:pPr>
            <w:r>
              <w:rPr>
                <w:rFonts w:hint="eastAsia"/>
                <w:kern w:val="2"/>
                <w:sz w:val="24"/>
                <w:szCs w:val="22"/>
              </w:rPr>
              <w:t>对于外来文件能够进行标识，并控制分发范围。</w:t>
            </w:r>
          </w:p>
          <w:p>
            <w:pPr>
              <w:pStyle w:val="14"/>
              <w:spacing w:line="360" w:lineRule="exact"/>
              <w:ind w:firstLine="0" w:firstLineChars="0"/>
              <w:jc w:val="left"/>
              <w:rPr>
                <w:rFonts w:hint="eastAsia"/>
                <w:kern w:val="2"/>
                <w:sz w:val="24"/>
                <w:szCs w:val="22"/>
              </w:rPr>
            </w:pPr>
            <w:r>
              <w:rPr>
                <w:rFonts w:hint="eastAsia"/>
                <w:kern w:val="2"/>
                <w:sz w:val="24"/>
                <w:szCs w:val="22"/>
              </w:rPr>
              <w:t>基本符合要求，文件化信息、记录控制没有变化。</w:t>
            </w:r>
          </w:p>
          <w:p>
            <w:pPr>
              <w:pStyle w:val="14"/>
              <w:spacing w:line="360" w:lineRule="exact"/>
              <w:ind w:firstLine="0" w:firstLineChars="0"/>
              <w:jc w:val="left"/>
              <w:rPr>
                <w:rFonts w:hint="default" w:eastAsia="宋体"/>
                <w:kern w:val="2"/>
                <w:sz w:val="24"/>
                <w:szCs w:val="22"/>
                <w:lang w:val="en-US" w:eastAsia="zh-CN"/>
              </w:rPr>
            </w:pPr>
            <w:r>
              <w:rPr>
                <w:rFonts w:hint="eastAsia"/>
                <w:color w:val="0000FF"/>
                <w:kern w:val="2"/>
                <w:sz w:val="24"/>
                <w:szCs w:val="22"/>
                <w:lang w:val="en-US" w:eastAsia="zh-CN"/>
              </w:rPr>
              <w:t>现场查询文件情况，管理体系文件都存在在文件柜内，有发放记录等，文件控制符合要求。</w:t>
            </w:r>
          </w:p>
        </w:tc>
        <w:tc>
          <w:tcPr>
            <w:tcW w:w="1002" w:type="dxa"/>
          </w:tcPr>
          <w:p>
            <w:pPr>
              <w:pStyle w:val="2"/>
              <w:ind w:firstLine="230" w:firstLineChars="100"/>
            </w:pPr>
          </w:p>
          <w:p>
            <w:pPr>
              <w:pStyle w:val="2"/>
              <w:ind w:firstLine="230" w:firstLineChars="100"/>
            </w:pPr>
          </w:p>
          <w:p>
            <w:pPr>
              <w:pStyle w:val="2"/>
              <w:ind w:firstLine="230" w:firstLineChars="100"/>
            </w:pPr>
          </w:p>
          <w:p>
            <w:pPr>
              <w:pStyle w:val="2"/>
              <w:ind w:firstLine="230" w:firstLineChars="100"/>
            </w:pPr>
          </w:p>
          <w:p>
            <w:pPr>
              <w:pStyle w:val="2"/>
              <w:ind w:firstLine="230" w:firstLineChars="100"/>
            </w:pPr>
          </w:p>
          <w:p>
            <w:pPr>
              <w:pStyle w:val="2"/>
              <w:ind w:firstLine="230" w:firstLineChars="100"/>
            </w:pPr>
          </w:p>
          <w:p>
            <w:pPr>
              <w:pStyle w:val="2"/>
              <w:ind w:firstLine="230" w:firstLineChars="100"/>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447" w:type="dxa"/>
          </w:tcPr>
          <w:p>
            <w:pPr>
              <w:widowControl/>
              <w:jc w:val="left"/>
              <w:rPr>
                <w:szCs w:val="21"/>
              </w:rPr>
            </w:pPr>
            <w:r>
              <w:rPr>
                <w:rFonts w:hint="eastAsia"/>
                <w:szCs w:val="21"/>
              </w:rPr>
              <w:t>过程控制</w:t>
            </w:r>
          </w:p>
        </w:tc>
        <w:tc>
          <w:tcPr>
            <w:tcW w:w="2220" w:type="dxa"/>
          </w:tcPr>
          <w:p>
            <w:pPr>
              <w:pStyle w:val="2"/>
              <w:rPr>
                <w:szCs w:val="21"/>
              </w:rPr>
            </w:pPr>
            <w:r>
              <w:rPr>
                <w:szCs w:val="21"/>
              </w:rPr>
              <w:t>O8.1</w:t>
            </w:r>
          </w:p>
        </w:tc>
        <w:tc>
          <w:tcPr>
            <w:tcW w:w="10040" w:type="dxa"/>
          </w:tcPr>
          <w:p>
            <w:pPr>
              <w:pStyle w:val="14"/>
              <w:spacing w:line="360" w:lineRule="exact"/>
              <w:ind w:firstLine="0" w:firstLineChars="0"/>
              <w:jc w:val="left"/>
              <w:rPr>
                <w:kern w:val="2"/>
                <w:sz w:val="24"/>
                <w:szCs w:val="22"/>
              </w:rPr>
            </w:pPr>
            <w:r>
              <w:rPr>
                <w:rFonts w:hint="eastAsia"/>
                <w:kern w:val="2"/>
                <w:sz w:val="24"/>
                <w:szCs w:val="22"/>
              </w:rPr>
              <w:t>总经理指导生产部组织相关部门对服务实现、环境运行控制所需的过程及子过程的顺序和相互关系进行策划，并对服务提供的过程、重要环境因素有关的运行和活动进行控制，确保管理方针、目标、指标的实现。策划确定下列内容：a）应达到的质量、环境目标、指标要求；b）针对服务确定过程及重要环境因素，并建立销售服务所需要的文件，以及所需提供的资源和设施；c）依据服务实现过程和活动的特点，确定验证、确认、监视、测量和检验需求的活动以及接收准则；d）保存服务实现过程和活动满足规定要求的记录；</w:t>
            </w:r>
          </w:p>
          <w:p>
            <w:pPr>
              <w:pStyle w:val="14"/>
              <w:spacing w:line="360" w:lineRule="exact"/>
              <w:ind w:firstLine="0" w:firstLineChars="0"/>
              <w:jc w:val="left"/>
              <w:rPr>
                <w:kern w:val="2"/>
                <w:sz w:val="24"/>
                <w:szCs w:val="22"/>
              </w:rPr>
            </w:pPr>
          </w:p>
          <w:p>
            <w:pPr>
              <w:pStyle w:val="14"/>
              <w:spacing w:line="360" w:lineRule="exact"/>
              <w:ind w:firstLine="0" w:firstLineChars="0"/>
              <w:jc w:val="left"/>
              <w:rPr>
                <w:kern w:val="2"/>
                <w:sz w:val="24"/>
                <w:szCs w:val="22"/>
              </w:rPr>
            </w:pPr>
            <w:r>
              <w:rPr>
                <w:rFonts w:hint="eastAsia"/>
                <w:kern w:val="2"/>
                <w:sz w:val="24"/>
                <w:szCs w:val="22"/>
              </w:rPr>
              <w:t>识别确定已纳入计划或新的开发、新的或修改的活动、产品和服务过程的环境因素：确定这些改变带来的具有、或可能具有重大影响的因素（重要环境因素）并建立控制的记录；确定运行控制的程序或建立新的目标和指标；对涉及到的间接重要环境因素通报给供方及合同方；建立应急准备与相应控制机制。</w:t>
            </w:r>
          </w:p>
          <w:p>
            <w:pPr>
              <w:pStyle w:val="14"/>
              <w:spacing w:line="360" w:lineRule="exact"/>
              <w:ind w:firstLine="0" w:firstLineChars="0"/>
              <w:jc w:val="left"/>
              <w:rPr>
                <w:kern w:val="2"/>
                <w:sz w:val="24"/>
                <w:szCs w:val="22"/>
              </w:rPr>
            </w:pPr>
            <w:r>
              <w:rPr>
                <w:rFonts w:hint="eastAsia"/>
                <w:kern w:val="2"/>
                <w:sz w:val="24"/>
                <w:szCs w:val="22"/>
              </w:rPr>
              <w:t>公司的环境因素为办公用废纸由回收公司进行回收、硒鼓由供应商进行回收，以旧换新。</w:t>
            </w:r>
          </w:p>
          <w:p>
            <w:pPr>
              <w:pStyle w:val="14"/>
              <w:spacing w:line="360" w:lineRule="exact"/>
              <w:ind w:firstLine="0" w:firstLineChars="0"/>
              <w:jc w:val="left"/>
              <w:rPr>
                <w:kern w:val="2"/>
                <w:sz w:val="24"/>
                <w:szCs w:val="22"/>
              </w:rPr>
            </w:pPr>
          </w:p>
          <w:p>
            <w:pPr>
              <w:pStyle w:val="14"/>
              <w:spacing w:line="360" w:lineRule="exact"/>
              <w:ind w:firstLine="0" w:firstLineChars="0"/>
              <w:jc w:val="left"/>
              <w:rPr>
                <w:kern w:val="2"/>
                <w:sz w:val="24"/>
                <w:szCs w:val="22"/>
              </w:rPr>
            </w:pPr>
            <w:r>
              <w:rPr>
                <w:rFonts w:hint="eastAsia"/>
                <w:kern w:val="2"/>
                <w:sz w:val="24"/>
                <w:szCs w:val="22"/>
              </w:rPr>
              <w:t>查《环境、职业健康安全运行检查表》</w:t>
            </w:r>
          </w:p>
          <w:p>
            <w:pPr>
              <w:pStyle w:val="14"/>
              <w:spacing w:line="360" w:lineRule="exact"/>
              <w:ind w:firstLine="480"/>
              <w:jc w:val="left"/>
              <w:rPr>
                <w:kern w:val="2"/>
                <w:sz w:val="24"/>
                <w:szCs w:val="22"/>
              </w:rPr>
            </w:pPr>
            <w:r>
              <w:rPr>
                <w:rFonts w:hint="eastAsia"/>
                <w:kern w:val="2"/>
                <w:sz w:val="24"/>
                <w:szCs w:val="22"/>
              </w:rPr>
              <w:t>部 门</w:t>
            </w:r>
            <w:r>
              <w:rPr>
                <w:rFonts w:hint="eastAsia"/>
                <w:kern w:val="2"/>
                <w:sz w:val="24"/>
                <w:szCs w:val="22"/>
              </w:rPr>
              <w:tab/>
            </w:r>
            <w:r>
              <w:rPr>
                <w:rFonts w:hint="eastAsia"/>
                <w:kern w:val="2"/>
                <w:sz w:val="24"/>
                <w:szCs w:val="22"/>
              </w:rPr>
              <w:t>检  查  内  容</w:t>
            </w:r>
            <w:r>
              <w:rPr>
                <w:rFonts w:hint="eastAsia"/>
                <w:kern w:val="2"/>
                <w:sz w:val="24"/>
                <w:szCs w:val="22"/>
              </w:rPr>
              <w:tab/>
            </w:r>
            <w:r>
              <w:rPr>
                <w:rFonts w:hint="eastAsia"/>
                <w:kern w:val="2"/>
                <w:sz w:val="24"/>
                <w:szCs w:val="22"/>
              </w:rPr>
              <w:t>检查方法</w:t>
            </w:r>
            <w:r>
              <w:rPr>
                <w:rFonts w:hint="eastAsia"/>
                <w:kern w:val="2"/>
                <w:sz w:val="24"/>
                <w:szCs w:val="22"/>
              </w:rPr>
              <w:tab/>
            </w:r>
            <w:r>
              <w:rPr>
                <w:rFonts w:hint="eastAsia"/>
                <w:kern w:val="2"/>
                <w:sz w:val="24"/>
                <w:szCs w:val="22"/>
              </w:rPr>
              <w:t>检 查 结 果</w:t>
            </w:r>
            <w:r>
              <w:rPr>
                <w:rFonts w:hint="eastAsia"/>
                <w:kern w:val="2"/>
                <w:sz w:val="24"/>
                <w:szCs w:val="22"/>
              </w:rPr>
              <w:tab/>
            </w:r>
            <w:r>
              <w:rPr>
                <w:rFonts w:hint="eastAsia"/>
                <w:kern w:val="2"/>
                <w:sz w:val="24"/>
                <w:szCs w:val="22"/>
              </w:rPr>
              <w:t>检查人</w:t>
            </w:r>
            <w:r>
              <w:rPr>
                <w:rFonts w:hint="eastAsia"/>
                <w:kern w:val="2"/>
                <w:sz w:val="24"/>
                <w:szCs w:val="22"/>
              </w:rPr>
              <w:tab/>
            </w:r>
            <w:r>
              <w:rPr>
                <w:rFonts w:hint="eastAsia"/>
                <w:kern w:val="2"/>
                <w:sz w:val="24"/>
                <w:szCs w:val="22"/>
              </w:rPr>
              <w:t>检查日期</w:t>
            </w:r>
            <w:r>
              <w:rPr>
                <w:rFonts w:hint="eastAsia"/>
                <w:kern w:val="2"/>
                <w:sz w:val="24"/>
                <w:szCs w:val="22"/>
              </w:rPr>
              <w:tab/>
            </w:r>
            <w:r>
              <w:rPr>
                <w:rFonts w:hint="eastAsia"/>
                <w:kern w:val="2"/>
                <w:sz w:val="24"/>
                <w:szCs w:val="22"/>
              </w:rPr>
              <w:t>备注</w:t>
            </w:r>
          </w:p>
          <w:p>
            <w:pPr>
              <w:pStyle w:val="14"/>
              <w:spacing w:line="360" w:lineRule="exact"/>
              <w:ind w:firstLine="480"/>
              <w:jc w:val="left"/>
              <w:rPr>
                <w:kern w:val="2"/>
                <w:sz w:val="24"/>
                <w:szCs w:val="22"/>
              </w:rPr>
            </w:pPr>
            <w:r>
              <w:rPr>
                <w:rFonts w:hint="eastAsia"/>
                <w:kern w:val="2"/>
                <w:sz w:val="24"/>
                <w:szCs w:val="22"/>
              </w:rPr>
              <w:t>办公室</w:t>
            </w:r>
            <w:r>
              <w:rPr>
                <w:rFonts w:hint="eastAsia"/>
                <w:kern w:val="2"/>
                <w:sz w:val="24"/>
                <w:szCs w:val="22"/>
              </w:rPr>
              <w:tab/>
            </w:r>
            <w:r>
              <w:rPr>
                <w:rFonts w:hint="eastAsia"/>
                <w:kern w:val="2"/>
                <w:sz w:val="24"/>
                <w:szCs w:val="22"/>
              </w:rPr>
              <w:t>组织环境、职业健康安全目标的适宜性、充分性、有效性</w:t>
            </w:r>
            <w:r>
              <w:rPr>
                <w:rFonts w:hint="eastAsia"/>
                <w:kern w:val="2"/>
                <w:sz w:val="24"/>
                <w:szCs w:val="22"/>
              </w:rPr>
              <w:tab/>
            </w:r>
            <w:r>
              <w:rPr>
                <w:rFonts w:hint="eastAsia"/>
                <w:kern w:val="2"/>
                <w:sz w:val="24"/>
                <w:szCs w:val="22"/>
              </w:rPr>
              <w:t>对环境、职业健康安全目标实现情况的测量和统计</w:t>
            </w:r>
            <w:r>
              <w:rPr>
                <w:rFonts w:hint="eastAsia"/>
                <w:kern w:val="2"/>
                <w:sz w:val="24"/>
                <w:szCs w:val="22"/>
              </w:rPr>
              <w:tab/>
            </w:r>
            <w:r>
              <w:rPr>
                <w:rFonts w:hint="eastAsia"/>
                <w:kern w:val="2"/>
                <w:sz w:val="24"/>
                <w:szCs w:val="22"/>
              </w:rPr>
              <w:t>符合要求</w:t>
            </w:r>
            <w:r>
              <w:rPr>
                <w:rFonts w:hint="eastAsia"/>
                <w:kern w:val="2"/>
                <w:sz w:val="24"/>
                <w:szCs w:val="22"/>
              </w:rPr>
              <w:tab/>
            </w:r>
            <w:r>
              <w:rPr>
                <w:rFonts w:hint="eastAsia"/>
                <w:kern w:val="2"/>
                <w:sz w:val="24"/>
                <w:szCs w:val="22"/>
              </w:rPr>
              <w:t>白明珠</w:t>
            </w:r>
            <w:r>
              <w:rPr>
                <w:rFonts w:hint="eastAsia"/>
                <w:kern w:val="2"/>
                <w:sz w:val="24"/>
                <w:szCs w:val="22"/>
              </w:rPr>
              <w:tab/>
            </w:r>
            <w:r>
              <w:rPr>
                <w:rFonts w:hint="eastAsia"/>
                <w:kern w:val="2"/>
                <w:sz w:val="24"/>
                <w:szCs w:val="22"/>
              </w:rPr>
              <w:t>2020.7.28</w:t>
            </w:r>
            <w:r>
              <w:rPr>
                <w:rFonts w:hint="eastAsia"/>
                <w:kern w:val="2"/>
                <w:sz w:val="24"/>
                <w:szCs w:val="22"/>
              </w:rPr>
              <w:tab/>
            </w:r>
          </w:p>
          <w:p>
            <w:pPr>
              <w:pStyle w:val="14"/>
              <w:spacing w:line="360" w:lineRule="exact"/>
              <w:ind w:firstLine="480"/>
              <w:jc w:val="left"/>
              <w:rPr>
                <w:kern w:val="2"/>
                <w:sz w:val="24"/>
                <w:szCs w:val="22"/>
              </w:rPr>
            </w:pPr>
            <w:r>
              <w:rPr>
                <w:rFonts w:hint="eastAsia"/>
                <w:kern w:val="2"/>
                <w:sz w:val="24"/>
                <w:szCs w:val="22"/>
              </w:rPr>
              <w:t>办公室</w:t>
            </w:r>
            <w:r>
              <w:rPr>
                <w:rFonts w:hint="eastAsia"/>
                <w:kern w:val="2"/>
                <w:sz w:val="24"/>
                <w:szCs w:val="22"/>
              </w:rPr>
              <w:tab/>
            </w:r>
            <w:r>
              <w:rPr>
                <w:rFonts w:hint="eastAsia"/>
                <w:kern w:val="2"/>
                <w:sz w:val="24"/>
                <w:szCs w:val="22"/>
              </w:rPr>
              <w:t>体系文件是否受控</w:t>
            </w:r>
            <w:r>
              <w:rPr>
                <w:rFonts w:hint="eastAsia"/>
                <w:kern w:val="2"/>
                <w:sz w:val="24"/>
                <w:szCs w:val="22"/>
              </w:rPr>
              <w:tab/>
            </w:r>
            <w:r>
              <w:rPr>
                <w:rFonts w:hint="eastAsia"/>
                <w:kern w:val="2"/>
                <w:sz w:val="24"/>
                <w:szCs w:val="22"/>
              </w:rPr>
              <w:t>体系文件发布前是否经过评审、批准；质量环境记录是否清晰、完整和易于识别</w:t>
            </w:r>
            <w:r>
              <w:rPr>
                <w:rFonts w:hint="eastAsia"/>
                <w:kern w:val="2"/>
                <w:sz w:val="24"/>
                <w:szCs w:val="22"/>
              </w:rPr>
              <w:tab/>
            </w:r>
            <w:r>
              <w:rPr>
                <w:rFonts w:hint="eastAsia"/>
                <w:kern w:val="2"/>
                <w:sz w:val="24"/>
                <w:szCs w:val="22"/>
              </w:rPr>
              <w:t>符合要求</w:t>
            </w:r>
            <w:r>
              <w:rPr>
                <w:rFonts w:hint="eastAsia"/>
                <w:kern w:val="2"/>
                <w:sz w:val="24"/>
                <w:szCs w:val="22"/>
              </w:rPr>
              <w:tab/>
            </w:r>
            <w:r>
              <w:rPr>
                <w:rFonts w:hint="eastAsia"/>
                <w:kern w:val="2"/>
                <w:sz w:val="24"/>
                <w:szCs w:val="22"/>
              </w:rPr>
              <w:t>白明珠</w:t>
            </w:r>
            <w:r>
              <w:rPr>
                <w:rFonts w:hint="eastAsia"/>
                <w:kern w:val="2"/>
                <w:sz w:val="24"/>
                <w:szCs w:val="22"/>
              </w:rPr>
              <w:tab/>
            </w:r>
            <w:r>
              <w:rPr>
                <w:rFonts w:hint="eastAsia"/>
                <w:kern w:val="2"/>
                <w:sz w:val="24"/>
                <w:szCs w:val="22"/>
              </w:rPr>
              <w:t>2020.7.28</w:t>
            </w:r>
            <w:r>
              <w:rPr>
                <w:rFonts w:hint="eastAsia"/>
                <w:kern w:val="2"/>
                <w:sz w:val="24"/>
                <w:szCs w:val="22"/>
              </w:rPr>
              <w:tab/>
            </w:r>
          </w:p>
          <w:p>
            <w:pPr>
              <w:pStyle w:val="14"/>
              <w:spacing w:line="360" w:lineRule="exact"/>
              <w:ind w:firstLine="480"/>
              <w:jc w:val="left"/>
              <w:rPr>
                <w:kern w:val="2"/>
                <w:sz w:val="24"/>
                <w:szCs w:val="22"/>
              </w:rPr>
            </w:pPr>
            <w:r>
              <w:rPr>
                <w:rFonts w:hint="eastAsia"/>
                <w:kern w:val="2"/>
                <w:sz w:val="24"/>
                <w:szCs w:val="22"/>
              </w:rPr>
              <w:t>办公室</w:t>
            </w:r>
            <w:r>
              <w:rPr>
                <w:rFonts w:hint="eastAsia"/>
                <w:kern w:val="2"/>
                <w:sz w:val="24"/>
                <w:szCs w:val="22"/>
              </w:rPr>
              <w:tab/>
            </w:r>
            <w:r>
              <w:rPr>
                <w:rFonts w:hint="eastAsia"/>
                <w:kern w:val="2"/>
                <w:sz w:val="24"/>
                <w:szCs w:val="22"/>
              </w:rPr>
              <w:t>培训的有效性</w:t>
            </w:r>
            <w:r>
              <w:rPr>
                <w:rFonts w:hint="eastAsia"/>
                <w:kern w:val="2"/>
                <w:sz w:val="24"/>
                <w:szCs w:val="22"/>
              </w:rPr>
              <w:tab/>
            </w:r>
            <w:r>
              <w:rPr>
                <w:rFonts w:hint="eastAsia"/>
                <w:kern w:val="2"/>
                <w:sz w:val="24"/>
                <w:szCs w:val="22"/>
              </w:rPr>
              <w:t>对培训的效果进行监视</w:t>
            </w:r>
            <w:r>
              <w:rPr>
                <w:rFonts w:hint="eastAsia"/>
                <w:kern w:val="2"/>
                <w:sz w:val="24"/>
                <w:szCs w:val="22"/>
              </w:rPr>
              <w:tab/>
            </w:r>
            <w:r>
              <w:rPr>
                <w:rFonts w:hint="eastAsia"/>
                <w:kern w:val="2"/>
                <w:sz w:val="24"/>
                <w:szCs w:val="22"/>
              </w:rPr>
              <w:t>符合要求</w:t>
            </w:r>
            <w:r>
              <w:rPr>
                <w:rFonts w:hint="eastAsia"/>
                <w:kern w:val="2"/>
                <w:sz w:val="24"/>
                <w:szCs w:val="22"/>
              </w:rPr>
              <w:tab/>
            </w:r>
            <w:r>
              <w:rPr>
                <w:rFonts w:hint="eastAsia"/>
                <w:kern w:val="2"/>
                <w:sz w:val="24"/>
                <w:szCs w:val="22"/>
              </w:rPr>
              <w:t>白明珠</w:t>
            </w:r>
            <w:r>
              <w:rPr>
                <w:rFonts w:hint="eastAsia"/>
                <w:kern w:val="2"/>
                <w:sz w:val="24"/>
                <w:szCs w:val="22"/>
              </w:rPr>
              <w:tab/>
            </w:r>
            <w:r>
              <w:rPr>
                <w:rFonts w:hint="eastAsia"/>
                <w:kern w:val="2"/>
                <w:sz w:val="24"/>
                <w:szCs w:val="22"/>
              </w:rPr>
              <w:t>2020.7.28</w:t>
            </w:r>
            <w:r>
              <w:rPr>
                <w:rFonts w:hint="eastAsia"/>
                <w:kern w:val="2"/>
                <w:sz w:val="24"/>
                <w:szCs w:val="22"/>
              </w:rPr>
              <w:tab/>
            </w:r>
          </w:p>
          <w:p>
            <w:pPr>
              <w:pStyle w:val="14"/>
              <w:spacing w:line="360" w:lineRule="exact"/>
              <w:ind w:firstLine="480"/>
              <w:jc w:val="left"/>
              <w:rPr>
                <w:kern w:val="2"/>
                <w:sz w:val="24"/>
                <w:szCs w:val="22"/>
              </w:rPr>
            </w:pPr>
            <w:r>
              <w:rPr>
                <w:rFonts w:hint="eastAsia"/>
                <w:kern w:val="2"/>
                <w:sz w:val="24"/>
                <w:szCs w:val="22"/>
              </w:rPr>
              <w:t>办公室</w:t>
            </w:r>
            <w:r>
              <w:rPr>
                <w:rFonts w:hint="eastAsia"/>
                <w:kern w:val="2"/>
                <w:sz w:val="24"/>
                <w:szCs w:val="22"/>
              </w:rPr>
              <w:tab/>
            </w:r>
            <w:r>
              <w:rPr>
                <w:rFonts w:hint="eastAsia"/>
                <w:kern w:val="2"/>
                <w:sz w:val="24"/>
                <w:szCs w:val="22"/>
              </w:rPr>
              <w:t>合规性评价</w:t>
            </w:r>
            <w:r>
              <w:rPr>
                <w:rFonts w:hint="eastAsia"/>
                <w:kern w:val="2"/>
                <w:sz w:val="24"/>
                <w:szCs w:val="22"/>
              </w:rPr>
              <w:tab/>
            </w:r>
            <w:r>
              <w:rPr>
                <w:rFonts w:hint="eastAsia"/>
                <w:kern w:val="2"/>
                <w:sz w:val="24"/>
                <w:szCs w:val="22"/>
              </w:rPr>
              <w:t>检查法律法规的收集情况及培训、执行情况</w:t>
            </w:r>
            <w:r>
              <w:rPr>
                <w:rFonts w:hint="eastAsia"/>
                <w:kern w:val="2"/>
                <w:sz w:val="24"/>
                <w:szCs w:val="22"/>
              </w:rPr>
              <w:tab/>
            </w:r>
            <w:r>
              <w:rPr>
                <w:rFonts w:hint="eastAsia"/>
                <w:kern w:val="2"/>
                <w:sz w:val="24"/>
                <w:szCs w:val="22"/>
              </w:rPr>
              <w:t>符合要求</w:t>
            </w:r>
            <w:r>
              <w:rPr>
                <w:rFonts w:hint="eastAsia"/>
                <w:kern w:val="2"/>
                <w:sz w:val="24"/>
                <w:szCs w:val="22"/>
              </w:rPr>
              <w:tab/>
            </w:r>
            <w:r>
              <w:rPr>
                <w:rFonts w:hint="eastAsia"/>
                <w:kern w:val="2"/>
                <w:sz w:val="24"/>
                <w:szCs w:val="22"/>
              </w:rPr>
              <w:t>白明珠</w:t>
            </w:r>
            <w:r>
              <w:rPr>
                <w:rFonts w:hint="eastAsia"/>
                <w:kern w:val="2"/>
                <w:sz w:val="24"/>
                <w:szCs w:val="22"/>
              </w:rPr>
              <w:tab/>
            </w:r>
            <w:r>
              <w:rPr>
                <w:rFonts w:hint="eastAsia"/>
                <w:kern w:val="2"/>
                <w:sz w:val="24"/>
                <w:szCs w:val="22"/>
              </w:rPr>
              <w:t>2020.7.28</w:t>
            </w:r>
            <w:r>
              <w:rPr>
                <w:rFonts w:hint="eastAsia"/>
                <w:kern w:val="2"/>
                <w:sz w:val="24"/>
                <w:szCs w:val="22"/>
              </w:rPr>
              <w:tab/>
            </w:r>
          </w:p>
          <w:p>
            <w:pPr>
              <w:pStyle w:val="14"/>
              <w:spacing w:line="360" w:lineRule="exact"/>
              <w:ind w:firstLine="480"/>
              <w:jc w:val="left"/>
              <w:rPr>
                <w:kern w:val="2"/>
                <w:sz w:val="24"/>
                <w:szCs w:val="22"/>
              </w:rPr>
            </w:pPr>
            <w:r>
              <w:rPr>
                <w:rFonts w:hint="eastAsia"/>
                <w:kern w:val="2"/>
                <w:sz w:val="24"/>
                <w:szCs w:val="22"/>
              </w:rPr>
              <w:t>办公室</w:t>
            </w:r>
            <w:r>
              <w:rPr>
                <w:rFonts w:hint="eastAsia"/>
                <w:kern w:val="2"/>
                <w:sz w:val="24"/>
                <w:szCs w:val="22"/>
              </w:rPr>
              <w:tab/>
            </w:r>
            <w:r>
              <w:rPr>
                <w:rFonts w:hint="eastAsia"/>
                <w:kern w:val="2"/>
                <w:sz w:val="24"/>
                <w:szCs w:val="22"/>
              </w:rPr>
              <w:t>人员的上岗能力</w:t>
            </w:r>
            <w:r>
              <w:rPr>
                <w:rFonts w:hint="eastAsia"/>
                <w:kern w:val="2"/>
                <w:sz w:val="24"/>
                <w:szCs w:val="22"/>
              </w:rPr>
              <w:tab/>
            </w:r>
            <w:r>
              <w:rPr>
                <w:rFonts w:hint="eastAsia"/>
                <w:kern w:val="2"/>
                <w:sz w:val="24"/>
                <w:szCs w:val="22"/>
              </w:rPr>
              <w:t>对特殊岗位人员的考核情况</w:t>
            </w:r>
            <w:r>
              <w:rPr>
                <w:rFonts w:hint="eastAsia"/>
                <w:kern w:val="2"/>
                <w:sz w:val="24"/>
                <w:szCs w:val="22"/>
              </w:rPr>
              <w:tab/>
            </w:r>
            <w:r>
              <w:rPr>
                <w:rFonts w:hint="eastAsia"/>
                <w:kern w:val="2"/>
                <w:sz w:val="24"/>
                <w:szCs w:val="22"/>
              </w:rPr>
              <w:t>符合要求</w:t>
            </w:r>
            <w:r>
              <w:rPr>
                <w:rFonts w:hint="eastAsia"/>
                <w:kern w:val="2"/>
                <w:sz w:val="24"/>
                <w:szCs w:val="22"/>
              </w:rPr>
              <w:tab/>
            </w:r>
            <w:r>
              <w:rPr>
                <w:rFonts w:hint="eastAsia"/>
                <w:kern w:val="2"/>
                <w:sz w:val="24"/>
                <w:szCs w:val="22"/>
              </w:rPr>
              <w:t>白明珠</w:t>
            </w:r>
            <w:r>
              <w:rPr>
                <w:rFonts w:hint="eastAsia"/>
                <w:kern w:val="2"/>
                <w:sz w:val="24"/>
                <w:szCs w:val="22"/>
              </w:rPr>
              <w:tab/>
            </w:r>
            <w:r>
              <w:rPr>
                <w:rFonts w:hint="eastAsia"/>
                <w:kern w:val="2"/>
                <w:sz w:val="24"/>
                <w:szCs w:val="22"/>
              </w:rPr>
              <w:t>2020.7.28</w:t>
            </w:r>
            <w:r>
              <w:rPr>
                <w:rFonts w:hint="eastAsia"/>
                <w:kern w:val="2"/>
                <w:sz w:val="24"/>
                <w:szCs w:val="22"/>
              </w:rPr>
              <w:tab/>
            </w:r>
          </w:p>
          <w:p>
            <w:pPr>
              <w:pStyle w:val="14"/>
              <w:spacing w:line="360" w:lineRule="exact"/>
              <w:ind w:firstLine="480"/>
              <w:jc w:val="left"/>
              <w:rPr>
                <w:kern w:val="2"/>
                <w:sz w:val="24"/>
                <w:szCs w:val="22"/>
              </w:rPr>
            </w:pPr>
            <w:r>
              <w:rPr>
                <w:rFonts w:hint="eastAsia"/>
                <w:kern w:val="2"/>
                <w:sz w:val="24"/>
                <w:szCs w:val="22"/>
              </w:rPr>
              <w:t>办公室</w:t>
            </w:r>
            <w:r>
              <w:rPr>
                <w:rFonts w:hint="eastAsia"/>
                <w:kern w:val="2"/>
                <w:sz w:val="24"/>
                <w:szCs w:val="22"/>
              </w:rPr>
              <w:tab/>
            </w:r>
            <w:r>
              <w:rPr>
                <w:rFonts w:hint="eastAsia"/>
                <w:kern w:val="2"/>
                <w:sz w:val="24"/>
                <w:szCs w:val="22"/>
              </w:rPr>
              <w:t>管理评审和内审的有效性</w:t>
            </w:r>
            <w:r>
              <w:rPr>
                <w:rFonts w:hint="eastAsia"/>
                <w:kern w:val="2"/>
                <w:sz w:val="24"/>
                <w:szCs w:val="22"/>
              </w:rPr>
              <w:tab/>
            </w:r>
            <w:r>
              <w:rPr>
                <w:rFonts w:hint="eastAsia"/>
                <w:kern w:val="2"/>
                <w:sz w:val="24"/>
                <w:szCs w:val="22"/>
              </w:rPr>
              <w:t>对管理评审提出的改进措施的跟踪检查和验证</w:t>
            </w:r>
            <w:r>
              <w:rPr>
                <w:rFonts w:hint="eastAsia"/>
                <w:kern w:val="2"/>
                <w:sz w:val="24"/>
                <w:szCs w:val="22"/>
              </w:rPr>
              <w:tab/>
            </w:r>
            <w:r>
              <w:rPr>
                <w:rFonts w:hint="eastAsia"/>
                <w:kern w:val="2"/>
                <w:sz w:val="24"/>
                <w:szCs w:val="22"/>
              </w:rPr>
              <w:t>符合要求</w:t>
            </w:r>
            <w:r>
              <w:rPr>
                <w:rFonts w:hint="eastAsia"/>
                <w:kern w:val="2"/>
                <w:sz w:val="24"/>
                <w:szCs w:val="22"/>
              </w:rPr>
              <w:tab/>
            </w:r>
            <w:r>
              <w:rPr>
                <w:rFonts w:hint="eastAsia"/>
                <w:kern w:val="2"/>
                <w:sz w:val="24"/>
                <w:szCs w:val="22"/>
              </w:rPr>
              <w:t>白明珠</w:t>
            </w:r>
            <w:r>
              <w:rPr>
                <w:rFonts w:hint="eastAsia"/>
                <w:kern w:val="2"/>
                <w:sz w:val="24"/>
                <w:szCs w:val="22"/>
              </w:rPr>
              <w:tab/>
            </w:r>
            <w:r>
              <w:rPr>
                <w:rFonts w:hint="eastAsia"/>
                <w:kern w:val="2"/>
                <w:sz w:val="24"/>
                <w:szCs w:val="22"/>
              </w:rPr>
              <w:t>2020.7.28</w:t>
            </w:r>
            <w:r>
              <w:rPr>
                <w:rFonts w:hint="eastAsia"/>
                <w:kern w:val="2"/>
                <w:sz w:val="24"/>
                <w:szCs w:val="22"/>
              </w:rPr>
              <w:tab/>
            </w:r>
          </w:p>
          <w:p>
            <w:pPr>
              <w:pStyle w:val="14"/>
              <w:spacing w:line="360" w:lineRule="exact"/>
              <w:ind w:firstLine="0" w:firstLineChars="0"/>
              <w:jc w:val="left"/>
              <w:rPr>
                <w:kern w:val="2"/>
                <w:sz w:val="24"/>
                <w:szCs w:val="22"/>
              </w:rPr>
            </w:pPr>
            <w:r>
              <w:rPr>
                <w:rFonts w:hint="eastAsia"/>
                <w:kern w:val="2"/>
                <w:sz w:val="24"/>
                <w:szCs w:val="22"/>
              </w:rPr>
              <w:t>办公室</w:t>
            </w:r>
            <w:r>
              <w:rPr>
                <w:rFonts w:hint="eastAsia"/>
                <w:kern w:val="2"/>
                <w:sz w:val="24"/>
                <w:szCs w:val="22"/>
              </w:rPr>
              <w:tab/>
            </w:r>
            <w:r>
              <w:rPr>
                <w:rFonts w:hint="eastAsia"/>
                <w:kern w:val="2"/>
                <w:sz w:val="24"/>
                <w:szCs w:val="22"/>
              </w:rPr>
              <w:t>应急准备与响应</w:t>
            </w:r>
            <w:r>
              <w:rPr>
                <w:rFonts w:hint="eastAsia"/>
                <w:kern w:val="2"/>
                <w:sz w:val="24"/>
                <w:szCs w:val="22"/>
              </w:rPr>
              <w:tab/>
            </w:r>
            <w:r>
              <w:rPr>
                <w:rFonts w:hint="eastAsia"/>
                <w:kern w:val="2"/>
                <w:sz w:val="24"/>
                <w:szCs w:val="22"/>
              </w:rPr>
              <w:t>应急演习训练</w:t>
            </w:r>
            <w:r>
              <w:rPr>
                <w:rFonts w:hint="eastAsia"/>
                <w:kern w:val="2"/>
                <w:sz w:val="24"/>
                <w:szCs w:val="22"/>
              </w:rPr>
              <w:tab/>
            </w:r>
            <w:r>
              <w:rPr>
                <w:rFonts w:hint="eastAsia"/>
                <w:kern w:val="2"/>
                <w:sz w:val="24"/>
                <w:szCs w:val="22"/>
              </w:rPr>
              <w:t>有演习记录</w:t>
            </w:r>
            <w:r>
              <w:rPr>
                <w:rFonts w:hint="eastAsia"/>
                <w:kern w:val="2"/>
                <w:sz w:val="24"/>
                <w:szCs w:val="22"/>
              </w:rPr>
              <w:tab/>
            </w:r>
            <w:r>
              <w:rPr>
                <w:rFonts w:hint="eastAsia"/>
                <w:kern w:val="2"/>
                <w:sz w:val="24"/>
                <w:szCs w:val="22"/>
              </w:rPr>
              <w:t>白明珠</w:t>
            </w:r>
            <w:r>
              <w:rPr>
                <w:rFonts w:hint="eastAsia"/>
                <w:kern w:val="2"/>
                <w:sz w:val="24"/>
                <w:szCs w:val="22"/>
              </w:rPr>
              <w:tab/>
            </w:r>
            <w:r>
              <w:rPr>
                <w:rFonts w:hint="eastAsia"/>
                <w:kern w:val="2"/>
                <w:sz w:val="24"/>
                <w:szCs w:val="22"/>
              </w:rPr>
              <w:t>2020.7.28</w:t>
            </w:r>
            <w:r>
              <w:rPr>
                <w:rFonts w:hint="eastAsia"/>
                <w:kern w:val="2"/>
                <w:sz w:val="24"/>
                <w:szCs w:val="22"/>
              </w:rPr>
              <w:tab/>
            </w:r>
          </w:p>
          <w:p>
            <w:pPr>
              <w:pStyle w:val="14"/>
              <w:spacing w:line="360" w:lineRule="exact"/>
              <w:ind w:firstLine="0" w:firstLineChars="0"/>
              <w:jc w:val="left"/>
              <w:rPr>
                <w:rFonts w:hint="eastAsia"/>
                <w:kern w:val="2"/>
                <w:sz w:val="24"/>
                <w:szCs w:val="22"/>
              </w:rPr>
            </w:pPr>
            <w:r>
              <w:rPr>
                <w:rFonts w:hint="eastAsia"/>
                <w:kern w:val="2"/>
                <w:sz w:val="24"/>
                <w:szCs w:val="22"/>
              </w:rPr>
              <w:t>运行策划和控制基本符合要求；</w:t>
            </w:r>
          </w:p>
          <w:p>
            <w:pPr>
              <w:pStyle w:val="14"/>
              <w:spacing w:line="360" w:lineRule="exact"/>
              <w:ind w:firstLine="0" w:firstLineChars="0"/>
              <w:jc w:val="left"/>
              <w:rPr>
                <w:rFonts w:hint="default" w:eastAsia="宋体"/>
                <w:kern w:val="2"/>
                <w:sz w:val="24"/>
                <w:szCs w:val="22"/>
                <w:lang w:val="en-US" w:eastAsia="zh-CN"/>
              </w:rPr>
            </w:pPr>
            <w:r>
              <w:rPr>
                <w:rFonts w:hint="eastAsia"/>
                <w:color w:val="0000FF"/>
                <w:kern w:val="2"/>
                <w:sz w:val="24"/>
                <w:szCs w:val="22"/>
                <w:lang w:val="en-US" w:eastAsia="zh-CN"/>
              </w:rPr>
              <w:t>现场检查，运行控制情况，现场有固废存放点，车间内有运行路线图，设备和零件摆放整齐。</w:t>
            </w:r>
          </w:p>
        </w:tc>
        <w:tc>
          <w:tcPr>
            <w:tcW w:w="1002" w:type="dxa"/>
          </w:tcPr>
          <w:p>
            <w:pPr>
              <w:pStyle w:val="2"/>
              <w:ind w:firstLine="230" w:firstLineChars="100"/>
            </w:pPr>
          </w:p>
          <w:p>
            <w:pPr>
              <w:pStyle w:val="2"/>
              <w:ind w:firstLine="230" w:firstLineChars="100"/>
            </w:pPr>
          </w:p>
          <w:p>
            <w:pPr>
              <w:pStyle w:val="2"/>
              <w:ind w:firstLine="230" w:firstLineChars="100"/>
            </w:pPr>
          </w:p>
          <w:p>
            <w:pPr>
              <w:pStyle w:val="2"/>
              <w:ind w:firstLine="230" w:firstLineChars="100"/>
            </w:pPr>
          </w:p>
          <w:p>
            <w:pPr>
              <w:pStyle w:val="2"/>
              <w:ind w:firstLine="230" w:firstLineChars="100"/>
            </w:pPr>
          </w:p>
          <w:p>
            <w:pPr>
              <w:pStyle w:val="2"/>
              <w:ind w:firstLine="230" w:firstLineChars="100"/>
            </w:pPr>
          </w:p>
          <w:p>
            <w:pPr>
              <w:pStyle w:val="2"/>
              <w:ind w:firstLine="230" w:firstLineChars="100"/>
            </w:pPr>
          </w:p>
          <w:p>
            <w:pPr>
              <w:pStyle w:val="2"/>
              <w:ind w:firstLine="230" w:firstLineChars="100"/>
            </w:pPr>
          </w:p>
          <w:p>
            <w:pPr>
              <w:pStyle w:val="2"/>
              <w:ind w:firstLine="230" w:firstLineChars="100"/>
            </w:pPr>
          </w:p>
          <w:p>
            <w:pPr>
              <w:pStyle w:val="2"/>
              <w:ind w:firstLine="230" w:firstLineChars="100"/>
            </w:pPr>
          </w:p>
          <w:p>
            <w:pPr>
              <w:pStyle w:val="2"/>
              <w:ind w:firstLine="230" w:firstLineChars="100"/>
            </w:pPr>
          </w:p>
          <w:p>
            <w:pPr>
              <w:pStyle w:val="2"/>
              <w:ind w:firstLine="230" w:firstLineChars="100"/>
            </w:pPr>
          </w:p>
          <w:p>
            <w:pPr>
              <w:pStyle w:val="2"/>
              <w:ind w:firstLine="230" w:firstLineChars="100"/>
            </w:pPr>
          </w:p>
          <w:p>
            <w:pPr>
              <w:pStyle w:val="2"/>
              <w:ind w:firstLine="230" w:firstLineChars="100"/>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447" w:type="dxa"/>
          </w:tcPr>
          <w:p>
            <w:pPr>
              <w:widowControl/>
              <w:jc w:val="left"/>
              <w:rPr>
                <w:sz w:val="24"/>
                <w:szCs w:val="22"/>
              </w:rPr>
            </w:pPr>
            <w:r>
              <w:rPr>
                <w:rFonts w:hint="eastAsia"/>
                <w:sz w:val="24"/>
                <w:szCs w:val="22"/>
              </w:rPr>
              <w:t>内部审核</w:t>
            </w:r>
          </w:p>
        </w:tc>
        <w:tc>
          <w:tcPr>
            <w:tcW w:w="2220" w:type="dxa"/>
          </w:tcPr>
          <w:p>
            <w:pPr>
              <w:pStyle w:val="2"/>
            </w:pPr>
            <w:r>
              <w:rPr>
                <w:szCs w:val="21"/>
              </w:rPr>
              <w:t>O9.2</w:t>
            </w:r>
          </w:p>
        </w:tc>
        <w:tc>
          <w:tcPr>
            <w:tcW w:w="10040" w:type="dxa"/>
          </w:tcPr>
          <w:p>
            <w:pPr>
              <w:pStyle w:val="14"/>
              <w:spacing w:line="360" w:lineRule="exact"/>
              <w:ind w:firstLine="0" w:firstLineChars="0"/>
              <w:jc w:val="left"/>
              <w:rPr>
                <w:kern w:val="2"/>
                <w:sz w:val="24"/>
                <w:szCs w:val="22"/>
              </w:rPr>
            </w:pPr>
            <w:r>
              <w:rPr>
                <w:rFonts w:hint="eastAsia"/>
                <w:kern w:val="2"/>
                <w:sz w:val="24"/>
                <w:szCs w:val="22"/>
              </w:rPr>
              <w:t>公司编制了《内部审核控制程序》，每年至少一次，两次时间间隔不超过12个月。管理者代表全面负责内部审核的领导、策划和组织。</w:t>
            </w:r>
          </w:p>
          <w:p>
            <w:pPr>
              <w:pStyle w:val="14"/>
              <w:spacing w:line="360" w:lineRule="exact"/>
              <w:ind w:firstLine="0" w:firstLineChars="0"/>
              <w:jc w:val="left"/>
              <w:rPr>
                <w:kern w:val="2"/>
                <w:sz w:val="24"/>
                <w:szCs w:val="22"/>
              </w:rPr>
            </w:pPr>
            <w:r>
              <w:rPr>
                <w:rFonts w:hint="eastAsia"/>
                <w:kern w:val="2"/>
                <w:sz w:val="24"/>
                <w:szCs w:val="22"/>
              </w:rPr>
              <w:t>查策划：每年进行一次内审，间隔不超过12个月。</w:t>
            </w:r>
          </w:p>
          <w:p>
            <w:pPr>
              <w:spacing w:line="300" w:lineRule="auto"/>
              <w:rPr>
                <w:sz w:val="24"/>
                <w:szCs w:val="22"/>
              </w:rPr>
            </w:pPr>
            <w:r>
              <w:rPr>
                <w:rFonts w:hint="eastAsia"/>
                <w:sz w:val="24"/>
                <w:szCs w:val="22"/>
              </w:rPr>
              <w:t>提供《管理体系内审计划》， 明确了审核目的、依据、范围、部门、审核内容。</w:t>
            </w:r>
          </w:p>
          <w:p>
            <w:pPr>
              <w:spacing w:line="300" w:lineRule="auto"/>
              <w:rPr>
                <w:sz w:val="24"/>
                <w:szCs w:val="22"/>
              </w:rPr>
            </w:pPr>
            <w:r>
              <w:rPr>
                <w:rFonts w:hint="eastAsia"/>
                <w:sz w:val="24"/>
                <w:szCs w:val="22"/>
              </w:rPr>
              <w:t>计划于2020年</w:t>
            </w:r>
            <w:r>
              <w:rPr>
                <w:sz w:val="24"/>
                <w:szCs w:val="22"/>
              </w:rPr>
              <w:t>7</w:t>
            </w:r>
            <w:r>
              <w:rPr>
                <w:rFonts w:hint="eastAsia"/>
                <w:sz w:val="24"/>
                <w:szCs w:val="22"/>
              </w:rPr>
              <w:t>月</w:t>
            </w:r>
            <w:r>
              <w:rPr>
                <w:sz w:val="24"/>
                <w:szCs w:val="22"/>
              </w:rPr>
              <w:t>14</w:t>
            </w:r>
            <w:r>
              <w:rPr>
                <w:rFonts w:hint="eastAsia"/>
                <w:sz w:val="24"/>
                <w:szCs w:val="22"/>
              </w:rPr>
              <w:t>日-</w:t>
            </w:r>
            <w:r>
              <w:rPr>
                <w:sz w:val="24"/>
                <w:szCs w:val="22"/>
              </w:rPr>
              <w:t>15</w:t>
            </w:r>
            <w:r>
              <w:rPr>
                <w:rFonts w:hint="eastAsia"/>
                <w:sz w:val="24"/>
                <w:szCs w:val="22"/>
              </w:rPr>
              <w:t>日实施。</w:t>
            </w:r>
          </w:p>
          <w:p>
            <w:pPr>
              <w:pStyle w:val="14"/>
              <w:spacing w:line="360" w:lineRule="exact"/>
              <w:ind w:firstLine="0" w:firstLineChars="0"/>
              <w:jc w:val="left"/>
              <w:rPr>
                <w:kern w:val="2"/>
                <w:sz w:val="24"/>
                <w:szCs w:val="22"/>
              </w:rPr>
            </w:pPr>
            <w:r>
              <w:rPr>
                <w:rFonts w:hint="eastAsia"/>
                <w:kern w:val="2"/>
                <w:sz w:val="24"/>
                <w:szCs w:val="22"/>
              </w:rPr>
              <w:t>审核依据：ISO14001:2015、ISO45001:2018；</w:t>
            </w:r>
          </w:p>
          <w:p>
            <w:pPr>
              <w:pStyle w:val="14"/>
              <w:spacing w:line="360" w:lineRule="exact"/>
              <w:ind w:firstLine="0" w:firstLineChars="0"/>
              <w:jc w:val="left"/>
              <w:rPr>
                <w:kern w:val="2"/>
                <w:sz w:val="24"/>
                <w:szCs w:val="22"/>
              </w:rPr>
            </w:pPr>
            <w:r>
              <w:rPr>
                <w:rFonts w:hint="eastAsia"/>
                <w:kern w:val="2"/>
                <w:sz w:val="24"/>
                <w:szCs w:val="22"/>
              </w:rPr>
              <w:t>公司管理手册及管理体系文件</w:t>
            </w:r>
          </w:p>
          <w:p>
            <w:pPr>
              <w:pStyle w:val="14"/>
              <w:spacing w:line="360" w:lineRule="exact"/>
              <w:ind w:firstLine="0" w:firstLineChars="0"/>
              <w:jc w:val="left"/>
              <w:rPr>
                <w:kern w:val="2"/>
                <w:sz w:val="24"/>
                <w:szCs w:val="22"/>
              </w:rPr>
            </w:pPr>
            <w:r>
              <w:rPr>
                <w:rFonts w:hint="eastAsia"/>
                <w:kern w:val="2"/>
                <w:sz w:val="24"/>
                <w:szCs w:val="22"/>
              </w:rPr>
              <w:t>审核组长：刘德华 审核组组员：白金荣</w:t>
            </w:r>
          </w:p>
          <w:p>
            <w:pPr>
              <w:pStyle w:val="14"/>
              <w:spacing w:line="360" w:lineRule="exact"/>
              <w:ind w:firstLine="0" w:firstLineChars="0"/>
              <w:jc w:val="left"/>
              <w:rPr>
                <w:kern w:val="2"/>
                <w:sz w:val="24"/>
                <w:szCs w:val="22"/>
              </w:rPr>
            </w:pPr>
            <w:r>
              <w:rPr>
                <w:rFonts w:hint="eastAsia"/>
                <w:kern w:val="2"/>
                <w:sz w:val="24"/>
                <w:szCs w:val="22"/>
              </w:rPr>
              <w:t xml:space="preserve">计划中有审核日程安排，内审员审核的部门及条款。计划审核的范围覆盖了所有的部门及条款。                                                                        </w:t>
            </w:r>
          </w:p>
          <w:p>
            <w:pPr>
              <w:pStyle w:val="14"/>
              <w:spacing w:line="360" w:lineRule="exact"/>
              <w:ind w:firstLine="0" w:firstLineChars="0"/>
              <w:jc w:val="left"/>
              <w:rPr>
                <w:kern w:val="2"/>
                <w:sz w:val="24"/>
                <w:szCs w:val="22"/>
              </w:rPr>
            </w:pPr>
            <w:r>
              <w:rPr>
                <w:rFonts w:hint="eastAsia"/>
                <w:kern w:val="2"/>
                <w:sz w:val="24"/>
                <w:szCs w:val="22"/>
              </w:rPr>
              <w:t>查审核计划实施</w:t>
            </w:r>
          </w:p>
          <w:p>
            <w:pPr>
              <w:pStyle w:val="14"/>
              <w:spacing w:line="360" w:lineRule="exact"/>
              <w:ind w:firstLine="0" w:firstLineChars="0"/>
              <w:jc w:val="left"/>
              <w:rPr>
                <w:kern w:val="2"/>
                <w:sz w:val="24"/>
                <w:szCs w:val="22"/>
              </w:rPr>
            </w:pPr>
            <w:r>
              <w:rPr>
                <w:rFonts w:hint="eastAsia"/>
                <w:kern w:val="2"/>
                <w:sz w:val="24"/>
                <w:szCs w:val="22"/>
              </w:rPr>
              <w:t>公司于2020年</w:t>
            </w:r>
            <w:r>
              <w:rPr>
                <w:kern w:val="2"/>
                <w:sz w:val="24"/>
                <w:szCs w:val="22"/>
              </w:rPr>
              <w:t>7</w:t>
            </w:r>
            <w:r>
              <w:rPr>
                <w:rFonts w:hint="eastAsia"/>
                <w:kern w:val="2"/>
                <w:sz w:val="24"/>
                <w:szCs w:val="22"/>
              </w:rPr>
              <w:t>月1</w:t>
            </w:r>
            <w:r>
              <w:rPr>
                <w:kern w:val="2"/>
                <w:sz w:val="24"/>
                <w:szCs w:val="22"/>
              </w:rPr>
              <w:t>4</w:t>
            </w:r>
            <w:r>
              <w:rPr>
                <w:rFonts w:hint="eastAsia"/>
                <w:kern w:val="2"/>
                <w:sz w:val="24"/>
                <w:szCs w:val="22"/>
              </w:rPr>
              <w:t>日-1</w:t>
            </w:r>
            <w:r>
              <w:rPr>
                <w:kern w:val="2"/>
                <w:sz w:val="24"/>
                <w:szCs w:val="22"/>
              </w:rPr>
              <w:t>5</w:t>
            </w:r>
            <w:r>
              <w:rPr>
                <w:rFonts w:hint="eastAsia"/>
                <w:kern w:val="2"/>
                <w:sz w:val="24"/>
                <w:szCs w:val="22"/>
              </w:rPr>
              <w:t>日按照策划的时间进行了内审。出示《内审首末次会议签到表》， 各部门负责人签字齐全。提供了各部门内审检查表。查阅领导层、办公室、生产部、供销部检查表，对审核的事实进行了描述，审核条款无遗漏。本次审核开出1项不符合报告。</w:t>
            </w:r>
          </w:p>
          <w:p>
            <w:pPr>
              <w:rPr>
                <w:rFonts w:ascii="宋体" w:hAnsi="宋体"/>
                <w:sz w:val="24"/>
              </w:rPr>
            </w:pPr>
            <w:r>
              <w:rPr>
                <w:rFonts w:hint="eastAsia"/>
                <w:sz w:val="24"/>
                <w:szCs w:val="22"/>
              </w:rPr>
              <w:t>不符合标准条款：</w:t>
            </w:r>
            <w:r>
              <w:rPr>
                <w:rFonts w:hint="eastAsia" w:ascii="宋体" w:hAnsi="宋体"/>
                <w:bCs/>
                <w:sz w:val="24"/>
              </w:rPr>
              <w:t>个别人员没有进行年度体检。</w:t>
            </w:r>
          </w:p>
          <w:p>
            <w:pPr>
              <w:rPr>
                <w:sz w:val="24"/>
                <w:szCs w:val="22"/>
              </w:rPr>
            </w:pPr>
            <w:r>
              <w:rPr>
                <w:rFonts w:hint="eastAsia" w:ascii="宋体" w:hAnsi="宋体"/>
                <w:sz w:val="24"/>
              </w:rPr>
              <w:t>ISO45001:</w:t>
            </w:r>
            <w:r>
              <w:rPr>
                <w:rFonts w:ascii="宋体" w:hAnsi="宋体"/>
                <w:sz w:val="24"/>
              </w:rPr>
              <w:t>20</w:t>
            </w:r>
            <w:r>
              <w:rPr>
                <w:rFonts w:hint="eastAsia" w:ascii="宋体" w:hAnsi="宋体"/>
                <w:sz w:val="24"/>
              </w:rPr>
              <w:t>18标准</w:t>
            </w:r>
            <w:r>
              <w:rPr>
                <w:rFonts w:ascii="宋体" w:hAnsi="宋体"/>
                <w:sz w:val="24"/>
              </w:rPr>
              <w:t>9.1</w:t>
            </w:r>
            <w:r>
              <w:rPr>
                <w:rFonts w:hint="eastAsia" w:ascii="宋体" w:hAnsi="宋体"/>
                <w:sz w:val="24"/>
              </w:rPr>
              <w:t>条款的要求</w:t>
            </w:r>
            <w:r>
              <w:rPr>
                <w:rFonts w:hint="eastAsia"/>
                <w:sz w:val="24"/>
                <w:szCs w:val="22"/>
              </w:rPr>
              <w:t>对不符合项进行了原因分析及纠正，由内审员进行了验证。</w:t>
            </w:r>
          </w:p>
          <w:p>
            <w:pPr>
              <w:pStyle w:val="14"/>
              <w:spacing w:line="360" w:lineRule="exact"/>
              <w:ind w:firstLine="0" w:firstLineChars="0"/>
              <w:jc w:val="left"/>
              <w:rPr>
                <w:kern w:val="2"/>
                <w:sz w:val="24"/>
                <w:szCs w:val="22"/>
              </w:rPr>
            </w:pPr>
            <w:r>
              <w:rPr>
                <w:rFonts w:hint="eastAsia"/>
                <w:kern w:val="2"/>
                <w:sz w:val="24"/>
                <w:szCs w:val="22"/>
              </w:rPr>
              <w:t>提供了《内部审核报告》，结论：通过内审发现了一些问题，今后需要加强学习和培训。经过1个周期的体系运行，证实公司建立的管理体系经内部符合性、适宜性和有效性。</w:t>
            </w:r>
          </w:p>
        </w:tc>
        <w:tc>
          <w:tcPr>
            <w:tcW w:w="1002" w:type="dxa"/>
          </w:tcPr>
          <w:p>
            <w:pPr>
              <w:pStyle w:val="2"/>
              <w:ind w:firstLine="230" w:firstLineChars="100"/>
            </w:pPr>
          </w:p>
          <w:p>
            <w:pPr>
              <w:pStyle w:val="2"/>
              <w:ind w:firstLine="230" w:firstLineChars="100"/>
            </w:pPr>
          </w:p>
          <w:p>
            <w:pPr>
              <w:pStyle w:val="2"/>
              <w:ind w:firstLine="230" w:firstLineChars="100"/>
            </w:pPr>
          </w:p>
          <w:p>
            <w:pPr>
              <w:pStyle w:val="2"/>
              <w:ind w:firstLine="230" w:firstLineChars="100"/>
            </w:pPr>
          </w:p>
          <w:p>
            <w:pPr>
              <w:pStyle w:val="2"/>
              <w:ind w:firstLine="230" w:firstLineChars="100"/>
            </w:pPr>
          </w:p>
          <w:p>
            <w:pPr>
              <w:pStyle w:val="2"/>
              <w:ind w:firstLine="230" w:firstLineChars="100"/>
            </w:pPr>
          </w:p>
          <w:p>
            <w:pPr>
              <w:pStyle w:val="2"/>
              <w:ind w:firstLine="230" w:firstLineChars="100"/>
            </w:pPr>
          </w:p>
          <w:p>
            <w:pPr>
              <w:pStyle w:val="2"/>
              <w:ind w:firstLine="230" w:firstLineChars="100"/>
            </w:pPr>
          </w:p>
          <w:p>
            <w:pPr>
              <w:pStyle w:val="2"/>
              <w:ind w:firstLine="230" w:firstLineChars="100"/>
            </w:pPr>
          </w:p>
          <w:p>
            <w:pPr>
              <w:pStyle w:val="2"/>
              <w:ind w:firstLine="230" w:firstLineChars="100"/>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447" w:type="dxa"/>
          </w:tcPr>
          <w:p>
            <w:pPr>
              <w:widowControl/>
              <w:jc w:val="left"/>
              <w:rPr>
                <w:sz w:val="24"/>
                <w:szCs w:val="22"/>
              </w:rPr>
            </w:pPr>
            <w:r>
              <w:rPr>
                <w:szCs w:val="21"/>
              </w:rPr>
              <w:t>事件、不合格</w:t>
            </w:r>
            <w:r>
              <w:rPr>
                <w:rFonts w:hint="eastAsia"/>
                <w:szCs w:val="21"/>
              </w:rPr>
              <w:t>和</w:t>
            </w:r>
            <w:r>
              <w:rPr>
                <w:szCs w:val="21"/>
              </w:rPr>
              <w:t>纠正措施</w:t>
            </w:r>
          </w:p>
        </w:tc>
        <w:tc>
          <w:tcPr>
            <w:tcW w:w="2220" w:type="dxa"/>
          </w:tcPr>
          <w:p>
            <w:pPr>
              <w:pStyle w:val="2"/>
              <w:rPr>
                <w:szCs w:val="21"/>
              </w:rPr>
            </w:pPr>
            <w:r>
              <w:rPr>
                <w:szCs w:val="21"/>
              </w:rPr>
              <w:t>O10.2</w:t>
            </w:r>
          </w:p>
        </w:tc>
        <w:tc>
          <w:tcPr>
            <w:tcW w:w="10040" w:type="dxa"/>
          </w:tcPr>
          <w:p>
            <w:pPr>
              <w:pStyle w:val="14"/>
              <w:spacing w:line="360" w:lineRule="exact"/>
              <w:ind w:firstLine="0" w:firstLineChars="0"/>
              <w:jc w:val="left"/>
              <w:rPr>
                <w:kern w:val="2"/>
                <w:sz w:val="24"/>
                <w:szCs w:val="22"/>
              </w:rPr>
            </w:pPr>
            <w:r>
              <w:rPr>
                <w:rFonts w:hint="eastAsia"/>
                <w:kern w:val="2"/>
                <w:sz w:val="24"/>
                <w:szCs w:val="22"/>
              </w:rPr>
              <w:t>建立了〈改进过程控制程序〉，程序中规定了发现不符合应做出的响应措施，主要是对产品的投诉抱怨，经询问办公室，如果发生此类不符合，办公室会立即与生产中人员进行联系，查明原因，制订预防措施，经询问，目前尚无人员对此方面的投诉。</w:t>
            </w:r>
          </w:p>
          <w:p>
            <w:pPr>
              <w:pStyle w:val="14"/>
              <w:spacing w:line="360" w:lineRule="exact"/>
              <w:ind w:firstLine="0" w:firstLineChars="0"/>
              <w:jc w:val="left"/>
              <w:rPr>
                <w:kern w:val="2"/>
                <w:sz w:val="24"/>
                <w:szCs w:val="22"/>
              </w:rPr>
            </w:pPr>
            <w:r>
              <w:rPr>
                <w:rFonts w:hint="eastAsia"/>
                <w:kern w:val="2"/>
                <w:sz w:val="24"/>
                <w:szCs w:val="22"/>
              </w:rPr>
              <w:t>对于内审中发现的不符合项分析问题产生的原因，立即制定纠正措施进行纠正。</w:t>
            </w:r>
          </w:p>
        </w:tc>
        <w:tc>
          <w:tcPr>
            <w:tcW w:w="1002" w:type="dxa"/>
          </w:tcPr>
          <w:p>
            <w:pPr>
              <w:pStyle w:val="2"/>
              <w:ind w:firstLine="230" w:firstLineChars="100"/>
            </w:pPr>
          </w:p>
          <w:p>
            <w:pPr>
              <w:pStyle w:val="2"/>
              <w:ind w:firstLine="230" w:firstLineChars="100"/>
            </w:pPr>
          </w:p>
          <w:p>
            <w:pPr>
              <w:pStyle w:val="2"/>
              <w:ind w:firstLine="230" w:firstLineChars="100"/>
            </w:pPr>
          </w:p>
          <w:p>
            <w:pPr>
              <w:pStyle w:val="2"/>
              <w:ind w:firstLine="230" w:firstLineChars="100"/>
            </w:pPr>
          </w:p>
          <w:p>
            <w:pPr>
              <w:pStyle w:val="2"/>
              <w:ind w:firstLine="230" w:firstLineChars="100"/>
            </w:pPr>
          </w:p>
          <w:p>
            <w:pPr>
              <w:pStyle w:val="2"/>
              <w:ind w:firstLine="230" w:firstLineChars="100"/>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447" w:type="dxa"/>
          </w:tcPr>
          <w:p>
            <w:pPr>
              <w:widowControl/>
              <w:jc w:val="left"/>
              <w:rPr>
                <w:sz w:val="24"/>
                <w:szCs w:val="22"/>
              </w:rPr>
            </w:pPr>
            <w:r>
              <w:rPr>
                <w:rFonts w:hint="eastAsia" w:ascii="宋体" w:hAnsi="宋体" w:cs="宋体"/>
                <w:color w:val="000000"/>
                <w:kern w:val="0"/>
                <w:sz w:val="20"/>
              </w:rPr>
              <w:t>工作人员的协商和参与</w:t>
            </w:r>
          </w:p>
        </w:tc>
        <w:tc>
          <w:tcPr>
            <w:tcW w:w="2220" w:type="dxa"/>
          </w:tcPr>
          <w:p>
            <w:pPr>
              <w:pStyle w:val="2"/>
              <w:rPr>
                <w:szCs w:val="21"/>
              </w:rPr>
            </w:pPr>
            <w:r>
              <w:rPr>
                <w:rFonts w:hint="eastAsia"/>
                <w:szCs w:val="21"/>
              </w:rPr>
              <w:t>O5.4</w:t>
            </w:r>
          </w:p>
        </w:tc>
        <w:tc>
          <w:tcPr>
            <w:tcW w:w="10040" w:type="dxa"/>
          </w:tcPr>
          <w:p>
            <w:pPr>
              <w:pStyle w:val="14"/>
              <w:spacing w:line="360" w:lineRule="exact"/>
              <w:ind w:firstLine="0" w:firstLineChars="0"/>
              <w:jc w:val="left"/>
              <w:rPr>
                <w:kern w:val="2"/>
                <w:sz w:val="24"/>
                <w:szCs w:val="22"/>
              </w:rPr>
            </w:pPr>
            <w:r>
              <w:rPr>
                <w:rFonts w:hint="eastAsia"/>
                <w:kern w:val="2"/>
                <w:sz w:val="24"/>
                <w:szCs w:val="22"/>
              </w:rPr>
              <w:t>远程询查工作人员的协商和参与事项：</w:t>
            </w:r>
          </w:p>
          <w:p>
            <w:pPr>
              <w:pStyle w:val="14"/>
              <w:spacing w:line="360" w:lineRule="exact"/>
              <w:ind w:firstLine="0" w:firstLineChars="0"/>
              <w:jc w:val="left"/>
              <w:rPr>
                <w:kern w:val="2"/>
                <w:sz w:val="24"/>
                <w:szCs w:val="22"/>
              </w:rPr>
            </w:pPr>
            <w:r>
              <w:rPr>
                <w:rFonts w:hint="eastAsia"/>
                <w:kern w:val="2"/>
                <w:sz w:val="24"/>
                <w:szCs w:val="22"/>
              </w:rPr>
              <w:t>公司鼓励员工特别是非管理类员工在如下方面参与：确定其协商和参与的机制；辨识危险源并评价风险和机遇；确定消除危险源和降低职业健康安全风险的措施；确定能力要求、培训需求，培训和培训效果评价；确定沟通内容和方式；确定控制及其有效实施的应用；调查事件和不符合并确定纠正措施。</w:t>
            </w:r>
          </w:p>
          <w:p>
            <w:pPr>
              <w:pStyle w:val="14"/>
              <w:spacing w:line="360" w:lineRule="exact"/>
              <w:ind w:firstLine="0" w:firstLineChars="0"/>
              <w:jc w:val="left"/>
              <w:rPr>
                <w:kern w:val="2"/>
                <w:sz w:val="24"/>
                <w:szCs w:val="22"/>
              </w:rPr>
            </w:pPr>
            <w:r>
              <w:rPr>
                <w:rFonts w:hint="eastAsia"/>
                <w:kern w:val="2"/>
                <w:sz w:val="24"/>
                <w:szCs w:val="22"/>
              </w:rPr>
              <w:t>同时，特别强调非管理类员工参与协商下述活动：确定相关方需求和期望；建立职业健康安全方针；适用时，分配组织的角色、职责和权限；确定如何满足法律法规要求和其他要求，制定职业健康安全目标并为其实现进行策划；确定对外包、采购和承包方的适用控制；确定所需监视、测量和评价的内容；策划、建立、实施和保持审核方案；确保持续改进。</w:t>
            </w:r>
          </w:p>
        </w:tc>
        <w:tc>
          <w:tcPr>
            <w:tcW w:w="1002" w:type="dxa"/>
          </w:tcPr>
          <w:p>
            <w:pPr>
              <w:pStyle w:val="2"/>
              <w:ind w:firstLine="230" w:firstLineChars="100"/>
            </w:pPr>
          </w:p>
          <w:p>
            <w:pPr>
              <w:pStyle w:val="2"/>
              <w:ind w:firstLine="230" w:firstLineChars="100"/>
            </w:pPr>
          </w:p>
          <w:p>
            <w:pPr>
              <w:pStyle w:val="2"/>
            </w:pPr>
          </w:p>
          <w:p>
            <w:pPr>
              <w:pStyle w:val="2"/>
              <w:ind w:firstLine="230" w:firstLineChars="100"/>
            </w:pPr>
          </w:p>
          <w:p>
            <w:pPr>
              <w:pStyle w:val="2"/>
              <w:ind w:firstLine="230" w:firstLineChars="100"/>
            </w:pPr>
            <w:r>
              <w:rPr>
                <w:rFonts w:hint="eastAsia"/>
              </w:rPr>
              <w:t>y</w:t>
            </w:r>
          </w:p>
        </w:tc>
      </w:tr>
    </w:tbl>
    <w:p>
      <w:pPr>
        <w:rPr>
          <w:rFonts w:hint="eastAsia"/>
        </w:rPr>
      </w:pPr>
      <w:r>
        <w:rPr>
          <w:rFonts w:hint="eastAsia"/>
        </w:rPr>
        <w:t>说明：不符合标注N</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tbl>
      <w:tblPr>
        <w:tblStyle w:val="7"/>
        <w:tblpPr w:leftFromText="180" w:rightFromText="180" w:vertAnchor="text" w:horzAnchor="page" w:tblpX="1416" w:tblpY="288"/>
        <w:tblOverlap w:val="never"/>
        <w:tblW w:w="47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5"/>
        <w:gridCol w:w="1320"/>
        <w:gridCol w:w="10566"/>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492" w:type="pct"/>
            <w:vAlign w:val="center"/>
          </w:tcPr>
          <w:p>
            <w:r>
              <w:rPr>
                <w:rFonts w:hint="eastAsia"/>
              </w:rPr>
              <w:t>目标</w:t>
            </w:r>
          </w:p>
        </w:tc>
        <w:tc>
          <w:tcPr>
            <w:tcW w:w="462" w:type="pct"/>
            <w:vAlign w:val="center"/>
          </w:tcPr>
          <w:p>
            <w:r>
              <w:t>6.2</w:t>
            </w:r>
          </w:p>
        </w:tc>
        <w:tc>
          <w:tcPr>
            <w:tcW w:w="3698" w:type="pct"/>
            <w:vAlign w:val="center"/>
          </w:tcPr>
          <w:p>
            <w:r>
              <w:rPr>
                <w:rFonts w:hint="eastAsia"/>
              </w:rPr>
              <w:t>部门环境和职业健康目标：                             考核情况</w:t>
            </w:r>
          </w:p>
          <w:p>
            <w:r>
              <w:rPr>
                <w:rFonts w:hint="eastAsia"/>
              </w:rPr>
              <w:t>1环境知识培训率≥95%                          100%</w:t>
            </w:r>
          </w:p>
          <w:p>
            <w:r>
              <w:rPr>
                <w:rFonts w:hint="eastAsia"/>
              </w:rPr>
              <w:t>2应急响应预案每年演练不少于1次                 1</w:t>
            </w:r>
          </w:p>
          <w:p>
            <w:r>
              <w:rPr>
                <w:rFonts w:hint="eastAsia"/>
              </w:rPr>
              <w:t>3火灾、爆炸事故发生率为0                        0</w:t>
            </w:r>
          </w:p>
          <w:p>
            <w:r>
              <w:rPr>
                <w:rFonts w:hint="eastAsia"/>
              </w:rPr>
              <w:t>4废弃物100%实现分类存放，合理处置             100%</w:t>
            </w:r>
          </w:p>
          <w:p>
            <w:r>
              <w:rPr>
                <w:rFonts w:hint="eastAsia"/>
              </w:rPr>
              <w:t>2020年上半年进行考核，目标基本实现</w:t>
            </w:r>
          </w:p>
          <w:p>
            <w:r>
              <w:rPr>
                <w:rFonts w:hint="eastAsia"/>
              </w:rPr>
              <w:t>考核人：白明珠    2020.7.30</w:t>
            </w:r>
          </w:p>
          <w:p>
            <w:r>
              <w:rPr>
                <w:rFonts w:hint="eastAsia"/>
              </w:rPr>
              <w:t>抽查管理方案情况</w:t>
            </w:r>
          </w:p>
          <w:p>
            <w:r>
              <w:rPr>
                <w:rFonts w:hint="eastAsia"/>
              </w:rPr>
              <w:t>环境目标指标：</w:t>
            </w:r>
            <w:r>
              <w:t>1.</w:t>
            </w:r>
            <w:r>
              <w:rPr>
                <w:rFonts w:hint="eastAsia"/>
              </w:rPr>
              <w:t>杜绝发生死亡、重伤事故。</w:t>
            </w:r>
          </w:p>
          <w:p>
            <w:r>
              <w:t>2.</w:t>
            </w:r>
            <w:r>
              <w:rPr>
                <w:rFonts w:hint="eastAsia"/>
              </w:rPr>
              <w:t>轻伤每年不超过</w:t>
            </w:r>
            <w:r>
              <w:t>3</w:t>
            </w:r>
            <w:r>
              <w:rPr>
                <w:rFonts w:hint="eastAsia"/>
              </w:rPr>
              <w:t>起。</w:t>
            </w:r>
          </w:p>
          <w:p>
            <w:r>
              <w:t>3.</w:t>
            </w:r>
            <w:r>
              <w:rPr>
                <w:rFonts w:hint="eastAsia"/>
              </w:rPr>
              <w:t>火灾事故发生率为</w:t>
            </w:r>
            <w:r>
              <w:t>0</w:t>
            </w:r>
          </w:p>
          <w:p>
            <w:r>
              <w:rPr>
                <w:rFonts w:hint="eastAsia"/>
              </w:rPr>
              <w:t>管理方案：</w:t>
            </w:r>
          </w:p>
          <w:p>
            <w:r>
              <w:t>1</w:t>
            </w:r>
            <w:r>
              <w:rPr>
                <w:rFonts w:hint="eastAsia"/>
              </w:rPr>
              <w:t>、定期维护保养运转设备，确保工作状态良好，减轻噪声危害</w:t>
            </w:r>
          </w:p>
          <w:p>
            <w:r>
              <w:t>2</w:t>
            </w:r>
            <w:r>
              <w:rPr>
                <w:rFonts w:hint="eastAsia"/>
              </w:rPr>
              <w:t>、设备底座减震</w:t>
            </w:r>
          </w:p>
          <w:p>
            <w:r>
              <w:rPr>
                <w:rFonts w:hint="eastAsia"/>
              </w:rPr>
              <w:t xml:space="preserve">完成时间： 2020.7.30之前 </w:t>
            </w:r>
          </w:p>
          <w:p>
            <w:r>
              <w:rPr>
                <w:rFonts w:hint="eastAsia"/>
              </w:rPr>
              <w:t>责任部门：供销部，监控部门：办公室</w:t>
            </w:r>
          </w:p>
          <w:p>
            <w:r>
              <w:rPr>
                <w:rFonts w:hint="eastAsia"/>
              </w:rPr>
              <w:t>每半年组织一次考核，“2020上半年环境目标、指标完成情况考核记录”显示已完成，达到了阶段性的目标要求。</w:t>
            </w:r>
          </w:p>
        </w:tc>
        <w:tc>
          <w:tcPr>
            <w:tcW w:w="346" w:type="pct"/>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492" w:type="pct"/>
            <w:vAlign w:val="center"/>
          </w:tcPr>
          <w:p>
            <w:r>
              <w:rPr>
                <w:rFonts w:hint="eastAsia"/>
              </w:rPr>
              <w:t>危险源识别与评价</w:t>
            </w:r>
          </w:p>
        </w:tc>
        <w:tc>
          <w:tcPr>
            <w:tcW w:w="462" w:type="pct"/>
            <w:vAlign w:val="center"/>
          </w:tcPr>
          <w:p>
            <w:r>
              <w:t>6.1.2</w:t>
            </w:r>
          </w:p>
        </w:tc>
        <w:tc>
          <w:tcPr>
            <w:tcW w:w="3698" w:type="pct"/>
            <w:vAlign w:val="center"/>
          </w:tcPr>
          <w:p>
            <w:r>
              <w:rPr>
                <w:rFonts w:hint="eastAsia"/>
              </w:rPr>
              <w:t>提供《危险源识别清单》，按照活动、区域进行了识别，其中涉及办公室、生产、库房包括：电脑、打印机、复印机产生的辐射；电源电器老化损坏、违章用电、地面油污水滑跌倒、障碍物挡路、物资装卸、搬运、货物倾倒、吸烟引起的火灾、灭火器失效、废气伤害、操作不当机械伤害等，评价基本全面</w:t>
            </w:r>
          </w:p>
          <w:p>
            <w:r>
              <w:rPr>
                <w:rFonts w:hint="eastAsia"/>
              </w:rPr>
              <w:t>提供《不可接受风险清单》，评价触电、机械故障、物体打击为不可接受风险，评价准确。</w:t>
            </w:r>
          </w:p>
        </w:tc>
        <w:tc>
          <w:tcPr>
            <w:tcW w:w="346" w:type="pct"/>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492" w:type="pct"/>
            <w:vAlign w:val="center"/>
          </w:tcPr>
          <w:p>
            <w:r>
              <w:rPr>
                <w:rFonts w:hint="eastAsia"/>
              </w:rPr>
              <w:t>合规义务</w:t>
            </w:r>
          </w:p>
        </w:tc>
        <w:tc>
          <w:tcPr>
            <w:tcW w:w="462" w:type="pct"/>
            <w:vAlign w:val="center"/>
          </w:tcPr>
          <w:p>
            <w:r>
              <w:t>6.1.3</w:t>
            </w:r>
          </w:p>
        </w:tc>
        <w:tc>
          <w:tcPr>
            <w:tcW w:w="3698" w:type="pct"/>
            <w:vAlign w:val="center"/>
          </w:tcPr>
          <w:p>
            <w:r>
              <w:rPr>
                <w:rFonts w:hint="eastAsia"/>
              </w:rPr>
              <w:t>提供了《合规义务管理控制程序》，规定法律、法规及其他要求的范围、获取方法、确认及分发。</w:t>
            </w:r>
          </w:p>
          <w:p>
            <w:r>
              <w:rPr>
                <w:rFonts w:hint="eastAsia"/>
              </w:rPr>
              <w:t>提供公司适用的《法律法规及其要求清单》包括：</w:t>
            </w:r>
          </w:p>
          <w:p>
            <w:r>
              <w:rPr>
                <w:rFonts w:hint="eastAsia"/>
              </w:rPr>
              <w:t>中华人民共和国社会保险法</w:t>
            </w:r>
          </w:p>
          <w:p>
            <w:r>
              <w:rPr>
                <w:rFonts w:hint="eastAsia"/>
              </w:rPr>
              <w:t>工伤保险条例</w:t>
            </w:r>
          </w:p>
          <w:p>
            <w:r>
              <w:rPr>
                <w:rFonts w:hint="eastAsia"/>
              </w:rPr>
              <w:t>社会消防安全教育培训规定</w:t>
            </w:r>
          </w:p>
          <w:p>
            <w:r>
              <w:rPr>
                <w:rFonts w:hint="eastAsia"/>
              </w:rPr>
              <w:t>陕西省安全生产条例</w:t>
            </w:r>
          </w:p>
          <w:p>
            <w:r>
              <w:rPr>
                <w:rFonts w:hint="eastAsia"/>
              </w:rPr>
              <w:t>陕西省职业病防治卫生监督条例</w:t>
            </w:r>
          </w:p>
          <w:p>
            <w:r>
              <w:rPr>
                <w:rFonts w:hint="eastAsia"/>
              </w:rPr>
              <w:t>陕西省消防条例</w:t>
            </w:r>
          </w:p>
          <w:p>
            <w:r>
              <w:rPr>
                <w:rFonts w:hint="eastAsia"/>
              </w:rPr>
              <w:t>陕西省实施&lt;工伤保险条例&gt;办法</w:t>
            </w:r>
          </w:p>
          <w:p>
            <w:r>
              <w:rPr>
                <w:rFonts w:hint="eastAsia"/>
              </w:rPr>
              <w:t>陕西省劳动保护监察条例</w:t>
            </w:r>
          </w:p>
          <w:p>
            <w:r>
              <w:rPr>
                <w:rFonts w:hint="eastAsia"/>
              </w:rPr>
              <w:t>陕西省实施《女职工劳动保护规定》的若干规定</w:t>
            </w:r>
          </w:p>
          <w:p>
            <w:r>
              <w:rPr>
                <w:rFonts w:hint="eastAsia"/>
              </w:rPr>
              <w:t>陕西省工伤保险条例实施办法等。明确了法律法规及其他要求对公司危险源的应用，明确了相应的适用条款。</w:t>
            </w:r>
          </w:p>
          <w:p>
            <w:r>
              <w:rPr>
                <w:rFonts w:hint="eastAsia"/>
              </w:rPr>
              <w:t>经查，基本符合要求。</w:t>
            </w:r>
          </w:p>
          <w:p>
            <w:r>
              <w:rPr>
                <w:rFonts w:hint="eastAsia"/>
              </w:rPr>
              <w:t>法律法规及其他要求在办公室存档一份，并已电子版的形式发到各部门电脑上。定期在网上查看法规的更新情况，目前均为最新版本。</w:t>
            </w:r>
          </w:p>
        </w:tc>
        <w:tc>
          <w:tcPr>
            <w:tcW w:w="346" w:type="pct"/>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trPr>
        <w:tc>
          <w:tcPr>
            <w:tcW w:w="492" w:type="pct"/>
            <w:vAlign w:val="center"/>
          </w:tcPr>
          <w:p>
            <w:r>
              <w:rPr>
                <w:rFonts w:hint="eastAsia"/>
              </w:rPr>
              <w:t>应急准备和响应</w:t>
            </w:r>
          </w:p>
        </w:tc>
        <w:tc>
          <w:tcPr>
            <w:tcW w:w="462" w:type="pct"/>
            <w:vAlign w:val="center"/>
          </w:tcPr>
          <w:p>
            <w:r>
              <w:t>8.2</w:t>
            </w:r>
          </w:p>
        </w:tc>
        <w:tc>
          <w:tcPr>
            <w:tcW w:w="3698" w:type="pct"/>
            <w:vAlign w:val="center"/>
          </w:tcPr>
          <w:p>
            <w:r>
              <w:t>1</w:t>
            </w:r>
            <w:r>
              <w:rPr>
                <w:rFonts w:hint="eastAsia"/>
              </w:rPr>
              <w:t>、查策划有《应急准备与响应控制程序》，编制有《火灾事故应急预案》。</w:t>
            </w:r>
          </w:p>
          <w:p>
            <w:r>
              <w:t>2</w:t>
            </w:r>
            <w:r>
              <w:rPr>
                <w:rFonts w:hint="eastAsia"/>
              </w:rPr>
              <w:t>、应急准备工作开展以下活动建立有应急组织，提供应急组织机构图、消防队人员名单、职责权限规定等配备相应的消防器材。进行消防常识和能力的培训、潜在的火灾爆炸的常识和能力的培训</w:t>
            </w:r>
          </w:p>
          <w:p>
            <w:r>
              <w:t>3</w:t>
            </w:r>
            <w:r>
              <w:rPr>
                <w:rFonts w:hint="eastAsia"/>
              </w:rPr>
              <w:t>、介绍开展了消防器材的使用和人员紧急疏散演练活动：</w:t>
            </w:r>
          </w:p>
          <w:p>
            <w:r>
              <w:rPr>
                <w:rFonts w:hint="eastAsia"/>
              </w:rPr>
              <w:t>提供有“消防演习记录”。演练时间：</w:t>
            </w:r>
            <w:r>
              <w:t>20</w:t>
            </w:r>
            <w:r>
              <w:rPr>
                <w:rFonts w:hint="eastAsia"/>
              </w:rPr>
              <w:t>20年4月5日；演练组织部门：办公室；参加人员：全体演练效果评价记录：通过演练，证明预案基本适宜，全体人员对预案的要求有了比较适宜的操作方法，可以有效履行预案的要求。对消防应急预案的适用性、可操作性进行评审；符合要求。</w:t>
            </w:r>
          </w:p>
        </w:tc>
        <w:tc>
          <w:tcPr>
            <w:tcW w:w="346" w:type="pct"/>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492" w:type="pct"/>
            <w:vAlign w:val="center"/>
          </w:tcPr>
          <w:p>
            <w:r>
              <w:rPr>
                <w:rFonts w:hint="eastAsia"/>
              </w:rPr>
              <w:t>监视和测量</w:t>
            </w:r>
          </w:p>
        </w:tc>
        <w:tc>
          <w:tcPr>
            <w:tcW w:w="462" w:type="pct"/>
            <w:vAlign w:val="center"/>
          </w:tcPr>
          <w:p>
            <w:r>
              <w:t>9.1.1</w:t>
            </w:r>
          </w:p>
        </w:tc>
        <w:tc>
          <w:tcPr>
            <w:tcW w:w="3698" w:type="pct"/>
            <w:vAlign w:val="center"/>
          </w:tcPr>
          <w:p>
            <w:r>
              <w:rPr>
                <w:rFonts w:hint="eastAsia"/>
              </w:rPr>
              <w:t>编制了《监视和测量控制程序》，通过以下几种方式对运行过程进行监视和测量：</w:t>
            </w:r>
          </w:p>
          <w:p>
            <w:r>
              <w:rPr>
                <w:rFonts w:hint="eastAsia"/>
              </w:rPr>
              <w:t>该公司对管理体系过程进行监视和测量的方法包括：内审、管理评审、目标考核、过程的监视和测量检查等。</w:t>
            </w:r>
          </w:p>
          <w:p>
            <w:r>
              <w:rPr>
                <w:rFonts w:hint="eastAsia"/>
              </w:rPr>
              <w:t>内审、管理评审、目标考核详见相关审核记录</w:t>
            </w:r>
            <w:r>
              <w:t>.</w:t>
            </w:r>
          </w:p>
          <w:p>
            <w:r>
              <w:rPr>
                <w:rFonts w:hint="eastAsia"/>
              </w:rPr>
              <w:t>每月进行一次过程的监视和测量的检查，发现问题立即整改。</w:t>
            </w:r>
          </w:p>
          <w:p>
            <w:r>
              <w:rPr>
                <w:rFonts w:hint="eastAsia"/>
              </w:rPr>
              <w:t>查2020年2月-7月《环境安全运行检查记录》，内容包括：环境因素/危险源、法律法规其他要求、目标、指标和方案、资源、作用、职责和权限、能力、培训和意识、信息交流、文件控制等。</w:t>
            </w:r>
          </w:p>
          <w:p>
            <w:r>
              <w:rPr>
                <w:rFonts w:hint="eastAsia"/>
              </w:rPr>
              <w:t>被动监测：自体系建立以来没有发生过职业健康事故</w:t>
            </w:r>
          </w:p>
          <w:p>
            <w:r>
              <w:rPr>
                <w:rFonts w:hint="eastAsia"/>
              </w:rPr>
              <w:t>监测设备：公司暂无职业健康安全监测设备。</w:t>
            </w:r>
          </w:p>
        </w:tc>
        <w:tc>
          <w:tcPr>
            <w:tcW w:w="346" w:type="pct"/>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trPr>
        <w:tc>
          <w:tcPr>
            <w:tcW w:w="492" w:type="pct"/>
            <w:vAlign w:val="center"/>
          </w:tcPr>
          <w:p>
            <w:r>
              <w:rPr>
                <w:rFonts w:hint="eastAsia"/>
              </w:rPr>
              <w:t>合规性评价</w:t>
            </w:r>
          </w:p>
        </w:tc>
        <w:tc>
          <w:tcPr>
            <w:tcW w:w="462" w:type="pct"/>
            <w:vAlign w:val="center"/>
          </w:tcPr>
          <w:p>
            <w:r>
              <w:t>9.1.2</w:t>
            </w:r>
          </w:p>
        </w:tc>
        <w:tc>
          <w:tcPr>
            <w:tcW w:w="3698" w:type="pct"/>
            <w:vAlign w:val="center"/>
          </w:tcPr>
          <w:p>
            <w:r>
              <w:rPr>
                <w:rFonts w:hint="eastAsia"/>
              </w:rPr>
              <w:t>策划编制了《合规性评价控制程序》，经查符合要求</w:t>
            </w:r>
          </w:p>
          <w:p>
            <w:r>
              <w:rPr>
                <w:rFonts w:hint="eastAsia"/>
              </w:rPr>
              <w:t>查合规性评价：</w:t>
            </w:r>
            <w:r>
              <w:t>20</w:t>
            </w:r>
            <w:r>
              <w:rPr>
                <w:rFonts w:hint="eastAsia"/>
              </w:rPr>
              <w:t>20年4月10日进行合规性评价，提供了《合规性评价表》，评价结果均为合规。经查，合规性评价基本符合要求。</w:t>
            </w:r>
          </w:p>
        </w:tc>
        <w:tc>
          <w:tcPr>
            <w:tcW w:w="346" w:type="pct"/>
          </w:tcPr>
          <w:p>
            <w:r>
              <w:rPr>
                <w:rFonts w:hint="eastAsia"/>
              </w:rPr>
              <w:t>Y</w:t>
            </w:r>
          </w:p>
        </w:tc>
      </w:tr>
    </w:tbl>
    <w:p>
      <w:pPr>
        <w:pStyle w:val="2"/>
        <w:rPr>
          <w:rFonts w:hint="eastAsia"/>
        </w:rPr>
      </w:pPr>
    </w:p>
    <w:p>
      <w:pPr>
        <w:pStyle w:val="2"/>
        <w:rPr>
          <w:rFonts w:hint="eastAsia"/>
        </w:rPr>
      </w:pPr>
    </w:p>
    <w:p>
      <w:pPr>
        <w:pStyle w:val="2"/>
        <w:rPr>
          <w:rFonts w:hint="eastAsia"/>
        </w:rPr>
      </w:pPr>
    </w:p>
    <w:p>
      <w:pPr>
        <w:pStyle w:val="2"/>
        <w:rPr>
          <w:rFonts w:hint="eastAsia"/>
        </w:rPr>
      </w:pPr>
      <w:bookmarkStart w:id="0" w:name="_GoBack"/>
      <w:bookmarkEnd w:id="0"/>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jc w:val="left"/>
    </w:pPr>
    <w:r>
      <w:pict>
        <v:shape id="_x0000_s3073" o:spid="_x0000_s3073"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3"/>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462AA"/>
    <w:multiLevelType w:val="multilevel"/>
    <w:tmpl w:val="5C9462AA"/>
    <w:lvl w:ilvl="0" w:tentative="0">
      <w:start w:val="1"/>
      <w:numFmt w:val="lowerLetter"/>
      <w:lvlText w:val="%1）"/>
      <w:lvlJc w:val="left"/>
      <w:pPr>
        <w:ind w:left="840" w:hanging="420"/>
      </w:pPr>
      <w:rPr>
        <w:rFonts w:hint="default"/>
        <w:w w:val="100"/>
      </w:rPr>
    </w:lvl>
    <w:lvl w:ilvl="1" w:tentative="0">
      <w:start w:val="1"/>
      <w:numFmt w:val="lowerLetter"/>
      <w:lvlText w:val="%2)"/>
      <w:lvlJc w:val="left"/>
      <w:pPr>
        <w:ind w:left="1680" w:hanging="420"/>
      </w:pPr>
      <w:rPr>
        <w:rFonts w:hint="default"/>
        <w:w w:val="100"/>
      </w:rPr>
    </w:lvl>
    <w:lvl w:ilvl="2" w:tentative="0">
      <w:start w:val="1"/>
      <w:numFmt w:val="lowerRoman"/>
      <w:lvlText w:val="%3."/>
      <w:lvlJc w:val="right"/>
      <w:pPr>
        <w:ind w:left="2100" w:hanging="420"/>
      </w:pPr>
      <w:rPr>
        <w:rFonts w:hint="default"/>
        <w:w w:val="100"/>
      </w:rPr>
    </w:lvl>
    <w:lvl w:ilvl="3" w:tentative="0">
      <w:start w:val="1"/>
      <w:numFmt w:val="decimal"/>
      <w:lvlText w:val="%4."/>
      <w:lvlJc w:val="left"/>
      <w:pPr>
        <w:ind w:left="2520" w:hanging="420"/>
      </w:pPr>
      <w:rPr>
        <w:rFonts w:hint="default"/>
        <w:w w:val="100"/>
      </w:rPr>
    </w:lvl>
    <w:lvl w:ilvl="4" w:tentative="0">
      <w:start w:val="1"/>
      <w:numFmt w:val="lowerLetter"/>
      <w:lvlText w:val="%5)"/>
      <w:lvlJc w:val="left"/>
      <w:pPr>
        <w:ind w:left="2940" w:hanging="420"/>
      </w:pPr>
      <w:rPr>
        <w:rFonts w:hint="default"/>
        <w:w w:val="100"/>
      </w:rPr>
    </w:lvl>
    <w:lvl w:ilvl="5" w:tentative="0">
      <w:start w:val="1"/>
      <w:numFmt w:val="lowerRoman"/>
      <w:lvlText w:val="%6."/>
      <w:lvlJc w:val="right"/>
      <w:pPr>
        <w:ind w:left="3360" w:hanging="420"/>
      </w:pPr>
      <w:rPr>
        <w:rFonts w:hint="default"/>
        <w:w w:val="100"/>
      </w:rPr>
    </w:lvl>
    <w:lvl w:ilvl="6" w:tentative="0">
      <w:start w:val="1"/>
      <w:numFmt w:val="decimal"/>
      <w:lvlText w:val="%7."/>
      <w:lvlJc w:val="left"/>
      <w:pPr>
        <w:ind w:left="3780" w:hanging="420"/>
      </w:pPr>
      <w:rPr>
        <w:rFonts w:hint="default"/>
        <w:w w:val="100"/>
      </w:rPr>
    </w:lvl>
    <w:lvl w:ilvl="7" w:tentative="0">
      <w:start w:val="1"/>
      <w:numFmt w:val="lowerLetter"/>
      <w:lvlText w:val="%8)"/>
      <w:lvlJc w:val="left"/>
      <w:pPr>
        <w:ind w:left="4200" w:hanging="420"/>
      </w:pPr>
      <w:rPr>
        <w:rFonts w:hint="default"/>
        <w:w w:val="100"/>
      </w:rPr>
    </w:lvl>
    <w:lvl w:ilvl="8" w:tentative="0">
      <w:start w:val="1"/>
      <w:numFmt w:val="lowerRoman"/>
      <w:lvlText w:val="%9."/>
      <w:lvlJc w:val="right"/>
      <w:pPr>
        <w:ind w:left="4620" w:hanging="420"/>
      </w:pPr>
      <w:rPr>
        <w:rFonts w:hint="default"/>
        <w:w w:val="1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C3D69"/>
    <w:rsid w:val="001C3D69"/>
    <w:rsid w:val="003F3AB0"/>
    <w:rsid w:val="003F58BE"/>
    <w:rsid w:val="00443DC4"/>
    <w:rsid w:val="00450958"/>
    <w:rsid w:val="004A2BC3"/>
    <w:rsid w:val="006D16C9"/>
    <w:rsid w:val="00717A85"/>
    <w:rsid w:val="00814E37"/>
    <w:rsid w:val="00824898"/>
    <w:rsid w:val="008D00E0"/>
    <w:rsid w:val="009964DF"/>
    <w:rsid w:val="009B72D5"/>
    <w:rsid w:val="009E3D6E"/>
    <w:rsid w:val="00A3325C"/>
    <w:rsid w:val="00AA29D8"/>
    <w:rsid w:val="00D927DC"/>
    <w:rsid w:val="00EB11F8"/>
    <w:rsid w:val="00EC3305"/>
    <w:rsid w:val="00F65DA1"/>
    <w:rsid w:val="039C7714"/>
    <w:rsid w:val="03D96AE0"/>
    <w:rsid w:val="05C452EA"/>
    <w:rsid w:val="0A802ED6"/>
    <w:rsid w:val="0BC05367"/>
    <w:rsid w:val="10BC52B0"/>
    <w:rsid w:val="196850DE"/>
    <w:rsid w:val="1AB90925"/>
    <w:rsid w:val="1C6A3D69"/>
    <w:rsid w:val="1E9D20CA"/>
    <w:rsid w:val="205829B9"/>
    <w:rsid w:val="29780EA2"/>
    <w:rsid w:val="29CE582E"/>
    <w:rsid w:val="2CCD63D4"/>
    <w:rsid w:val="2F11410C"/>
    <w:rsid w:val="33A42019"/>
    <w:rsid w:val="35742A03"/>
    <w:rsid w:val="37187BB9"/>
    <w:rsid w:val="38176BAA"/>
    <w:rsid w:val="38481B9D"/>
    <w:rsid w:val="44EB5918"/>
    <w:rsid w:val="49AD4D3C"/>
    <w:rsid w:val="49D34275"/>
    <w:rsid w:val="49D80C11"/>
    <w:rsid w:val="4AF46303"/>
    <w:rsid w:val="4DD342A5"/>
    <w:rsid w:val="4F6E0A3B"/>
    <w:rsid w:val="546241A1"/>
    <w:rsid w:val="55B933CF"/>
    <w:rsid w:val="5630181C"/>
    <w:rsid w:val="57317E40"/>
    <w:rsid w:val="5BD0174E"/>
    <w:rsid w:val="616B35E6"/>
    <w:rsid w:val="647E6EBA"/>
    <w:rsid w:val="64D309B9"/>
    <w:rsid w:val="66E4533F"/>
    <w:rsid w:val="6D6C43C4"/>
    <w:rsid w:val="7A8E55F9"/>
    <w:rsid w:val="7C977376"/>
    <w:rsid w:val="7D1C4B1E"/>
    <w:rsid w:val="7EFF0679"/>
    <w:rsid w:val="7F324C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0"/>
    <w:rPr>
      <w:rFonts w:ascii="宋体" w:hAnsi="Courier New"/>
      <w:szCs w:val="21"/>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rFonts w:ascii="Times New Roman" w:hAnsi="Times New Roman" w:eastAsia="宋体" w:cs="Times New Roman"/>
      <w:sz w:val="18"/>
      <w:szCs w:val="18"/>
    </w:rPr>
  </w:style>
  <w:style w:type="character" w:customStyle="1" w:styleId="11">
    <w:name w:val="页脚 字符"/>
    <w:basedOn w:val="9"/>
    <w:link w:val="5"/>
    <w:qFormat/>
    <w:uiPriority w:val="99"/>
    <w:rPr>
      <w:rFonts w:ascii="Times New Roman" w:hAnsi="Times New Roman" w:eastAsia="宋体" w:cs="Times New Roman"/>
      <w:sz w:val="18"/>
      <w:szCs w:val="18"/>
    </w:rPr>
  </w:style>
  <w:style w:type="character" w:customStyle="1" w:styleId="12">
    <w:name w:val="批注框文本 字符"/>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_Style 2"/>
    <w:basedOn w:val="1"/>
    <w:qFormat/>
    <w:uiPriority w:val="34"/>
    <w:pPr>
      <w:adjustRightInd w:val="0"/>
      <w:spacing w:line="312" w:lineRule="atLeast"/>
      <w:ind w:firstLine="420" w:firstLineChars="200"/>
      <w:textAlignment w:val="baseline"/>
    </w:pPr>
    <w:rPr>
      <w:kern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618</Words>
  <Characters>3528</Characters>
  <Lines>29</Lines>
  <Paragraphs>8</Paragraphs>
  <TotalTime>0</TotalTime>
  <ScaleCrop>false</ScaleCrop>
  <LinksUpToDate>false</LinksUpToDate>
  <CharactersWithSpaces>4138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2021-04-10T13:33:05Z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D6F4FFBD4E184C9DB25F080497EE1D45</vt:lpwstr>
  </property>
</Properties>
</file>