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管理层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主管领导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张明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陪同人员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尉晓光、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杨金平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周涛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姜小清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审核时间：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2021.3.25-26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916100007197295485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长期</w:t>
            </w:r>
            <w:r>
              <w:rPr>
                <w:rFonts w:hint="eastAsia"/>
                <w:color w:val="000000"/>
                <w:szCs w:val="21"/>
                <w:u w:val="single"/>
                <w:lang w:eastAsia="zh-CN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混凝土,混凝土构件制造和销售;水泥批发和零售,混凝土外加剂制造及销售,混凝土技术咨询服务,机械设备技术咨询服务;机械设备租赁,道路普通货物运输(危险品除外).(依法须经批准的项目,经相关部门批准后方可开展经营活动）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eastAsia="zh-CN"/>
              </w:rPr>
              <w:t xml:space="preserve"> </w:t>
            </w:r>
            <w:bookmarkStart w:id="0" w:name="审核范围"/>
            <w:r>
              <w:rPr>
                <w:u w:val="single"/>
              </w:rPr>
              <w:t>位于陕西省西安市长安区韦曲街道办事处枣园村，涉及商品混凝土、水泥建筑制品、建筑材料生产和运输所涉及的能源管理活动</w:t>
            </w:r>
            <w:bookmarkEnd w:id="0"/>
            <w:r>
              <w:rPr>
                <w:rFonts w:hint="eastAsia"/>
                <w:color w:val="000000"/>
                <w:szCs w:val="21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建筑业企业资质证书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D361056182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2023年06月13日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>预拌混凝士专业承包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</w:rPr>
              <w:t>不分等级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陕西省西安市长安区韦曲街道办事处枣园村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与《营业执照》和《建筑业企业资质证书》内容一致。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陕西省西安市长安区韦曲街道办事处枣园村</w:t>
            </w:r>
            <w:r>
              <w:rPr>
                <w:color w:val="000000"/>
                <w:szCs w:val="21"/>
                <w:u w:val="single"/>
              </w:rPr>
              <w:t xml:space="preserve">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bookmarkStart w:id="1" w:name="_Hlk8307114"/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bookmarkEnd w:id="1"/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/>
          <w:p>
            <w:pPr>
              <w:pStyle w:val="3"/>
              <w:rPr>
                <w:color w:val="000000"/>
              </w:rPr>
            </w:pPr>
          </w:p>
          <w:p>
            <w:pPr>
              <w:pStyle w:val="3"/>
              <w:rPr>
                <w:color w:val="000000"/>
              </w:rPr>
            </w:pPr>
          </w:p>
          <w:p>
            <w:pPr>
              <w:pStyle w:val="3"/>
              <w:rPr>
                <w:color w:val="000000"/>
              </w:rPr>
            </w:pPr>
          </w:p>
          <w:p>
            <w:pPr>
              <w:pStyle w:val="3"/>
              <w:rPr>
                <w:color w:val="000000"/>
              </w:rPr>
            </w:pPr>
          </w:p>
          <w:p>
            <w:pPr>
              <w:pStyle w:val="3"/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生产/服务流程图：</w:t>
            </w:r>
          </w:p>
          <w:p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购货（需方）单位提出委托和混凝土质量技术要求→双方签订供需合同并明确双方责任→下达生产任务→请混凝土申配合比、依据配合比备料、进行原材料检验→测砂石含水率、调整砂石和用水量、调整好的配合比输入微机→按配合比要求计量（称重）→搅拌（定时控制）→出料（测塌落度、制作试块）→装入罐车→运输（至需方指定地点）→浇筑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</w:t>
            </w:r>
            <w:r>
              <w:rPr>
                <w:rFonts w:hint="eastAsia"/>
                <w:color w:val="000000"/>
                <w:szCs w:val="21"/>
                <w:lang w:eastAsia="zh-CN"/>
              </w:rPr>
              <w:t>质量、环境、职业健康体系</w:t>
            </w:r>
            <w:r>
              <w:rPr>
                <w:rFonts w:hint="eastAsia"/>
                <w:color w:val="000000"/>
                <w:szCs w:val="21"/>
              </w:rPr>
              <w:t>总计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，能源体系总计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165人。</w:t>
            </w:r>
            <w:r>
              <w:rPr>
                <w:rFonts w:hint="eastAsia"/>
                <w:color w:val="000000"/>
                <w:szCs w:val="21"/>
              </w:rPr>
              <w:t>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34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131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三班（例如：早班8:00- 16 :00；晚班16 :00- 24 :00；夜班24 :00-次日 08 :00）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color w:val="000000"/>
                <w:szCs w:val="18"/>
                <w:lang w:eastAsia="zh-CN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能源体系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2020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能源体系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2020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En</w:t>
            </w:r>
            <w:r>
              <w:rPr>
                <w:rFonts w:hint="eastAsia"/>
                <w:color w:val="000000"/>
                <w:szCs w:val="21"/>
              </w:rPr>
              <w:t xml:space="preserve">MS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  <w:lang w:val="en-US" w:eastAsia="zh-CN"/>
              </w:rPr>
              <w:t>运输部分外</w:t>
            </w:r>
            <w:r>
              <w:rPr>
                <w:rFonts w:hint="eastAsia" w:cs="Times New Roman"/>
                <w:color w:val="000000"/>
                <w:szCs w:val="18"/>
                <w:u w:val="single"/>
                <w:lang w:val="en-US" w:eastAsia="zh-CN"/>
              </w:rPr>
              <w:t>包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</w:rPr>
              <w:t xml:space="preserve">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已发生，说明：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组织文件化的管理方针已制定，能源方针：</w:t>
            </w:r>
          </w:p>
          <w:p>
            <w:pPr>
              <w:pStyle w:val="17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遵守法规 清洁生产；节能降耗 创新改造；能耗限额 持续改进</w:t>
            </w:r>
          </w:p>
          <w:p>
            <w:pPr>
              <w:spacing w:line="360" w:lineRule="auto"/>
              <w:ind w:firstLine="315" w:firstLineChars="150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eastAsia="zh-CN"/>
              </w:rPr>
              <w:t>能源体系</w:t>
            </w:r>
            <w:r>
              <w:rPr>
                <w:rFonts w:hint="eastAsia"/>
                <w:lang w:val="en-US" w:eastAsia="zh-CN"/>
              </w:rPr>
              <w:t>：依据能源管理方针，结合公司实际，建立的能源管理目标和指标为：</w:t>
            </w:r>
          </w:p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贯彻情况：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文件发放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 xml:space="preserve">标语 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展板</w:t>
            </w:r>
            <w:r>
              <w:t xml:space="preserve"> </w:t>
            </w:r>
            <w:r>
              <w:rPr>
                <w:rFonts w:hint="eastAsia"/>
              </w:rPr>
              <w:t>□网站</w:t>
            </w:r>
            <w:r>
              <w:t xml:space="preserve">  </w:t>
            </w:r>
            <w:r>
              <w:rPr>
                <w:rFonts w:hint="eastAsia"/>
              </w:rPr>
              <w:t>□员工手册</w:t>
            </w:r>
            <w:r>
              <w:t xml:space="preserve"> </w:t>
            </w:r>
            <w:r>
              <w:rPr>
                <w:rFonts w:hint="eastAsia"/>
              </w:rPr>
              <w:t>□</w:t>
            </w:r>
          </w:p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 xml:space="preserve">组织文件化的管理目标已制定，内容为： </w:t>
            </w:r>
            <w:r>
              <w:t xml:space="preserve">                                              </w:t>
            </w:r>
          </w:p>
          <w:tbl>
            <w:tblPr>
              <w:tblStyle w:val="9"/>
              <w:tblpPr w:leftFromText="180" w:rightFromText="180" w:vertAnchor="text" w:horzAnchor="page" w:tblpXSpec="center" w:tblpY="288"/>
              <w:tblOverlap w:val="never"/>
              <w:tblW w:w="806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3545"/>
              <w:gridCol w:w="27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27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/>
                      <w:bCs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级别</w:t>
                  </w:r>
                </w:p>
              </w:tc>
              <w:tc>
                <w:tcPr>
                  <w:tcW w:w="3545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/>
                      <w:bCs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目标</w:t>
                  </w:r>
                </w:p>
              </w:tc>
              <w:tc>
                <w:tcPr>
                  <w:tcW w:w="279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/>
                      <w:bCs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指标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27" w:type="dxa"/>
                  <w:vMerge w:val="restart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公司级</w:t>
                  </w:r>
                </w:p>
              </w:tc>
              <w:tc>
                <w:tcPr>
                  <w:tcW w:w="3545" w:type="dxa"/>
                  <w:vMerge w:val="restart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 xml:space="preserve"> 生产节能最大化</w:t>
                  </w:r>
                </w:p>
              </w:tc>
              <w:tc>
                <w:tcPr>
                  <w:tcW w:w="279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 xml:space="preserve"> ≦250(tce)（生产）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27" w:type="dxa"/>
                  <w:vMerge w:val="continue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45" w:type="dxa"/>
                  <w:vMerge w:val="continue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79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 xml:space="preserve"> ≦50 (tce)（运输）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27" w:type="dxa"/>
                  <w:vMerge w:val="restart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生产部级</w:t>
                  </w:r>
                </w:p>
              </w:tc>
              <w:tc>
                <w:tcPr>
                  <w:tcW w:w="3545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单方生产综合能耗 III级标准</w:t>
                  </w:r>
                </w:p>
              </w:tc>
              <w:tc>
                <w:tcPr>
                  <w:tcW w:w="279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 xml:space="preserve">≦1.10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27" w:type="dxa"/>
                  <w:vMerge w:val="continue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45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单方运输综合能耗I级标准</w:t>
                  </w:r>
                </w:p>
              </w:tc>
              <w:tc>
                <w:tcPr>
                  <w:tcW w:w="279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 xml:space="preserve">≦1.85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27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辅助部门级</w:t>
                  </w:r>
                </w:p>
              </w:tc>
              <w:tc>
                <w:tcPr>
                  <w:tcW w:w="3545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同公司级要求</w:t>
                  </w:r>
                </w:p>
              </w:tc>
              <w:tc>
                <w:tcPr>
                  <w:tcW w:w="2793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同公司级要求</w:t>
                  </w:r>
                </w:p>
              </w:tc>
            </w:tr>
          </w:tbl>
          <w:p>
            <w:pPr>
              <w:widowControl/>
              <w:jc w:val="center"/>
            </w:pPr>
          </w:p>
          <w:p>
            <w:pPr>
              <w:pStyle w:val="3"/>
              <w:rPr>
                <w:color w:val="000000"/>
                <w:szCs w:val="18"/>
                <w:shd w:val="pct10" w:color="auto" w:fill="FFFFFF"/>
              </w:rPr>
            </w:pPr>
          </w:p>
          <w:p>
            <w:pPr>
              <w:pStyle w:val="3"/>
              <w:rPr>
                <w:color w:val="000000"/>
                <w:szCs w:val="18"/>
                <w:shd w:val="pct10" w:color="auto" w:fill="FFFFFF"/>
              </w:rPr>
            </w:pPr>
          </w:p>
          <w:p>
            <w:pPr>
              <w:pStyle w:val="3"/>
              <w:rPr>
                <w:color w:val="000000"/>
                <w:szCs w:val="18"/>
                <w:shd w:val="pct10" w:color="auto" w:fill="FFFFFF"/>
              </w:rPr>
            </w:pPr>
          </w:p>
          <w:p>
            <w:pPr>
              <w:pStyle w:val="3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En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29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21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自管理体系建立后，于2020年11月20～21日实施了内部审核；记录包括：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0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 2020.12.25实施了管理评审；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</w:t>
            </w:r>
            <w:r>
              <w:rPr>
                <w:color w:val="000000"/>
                <w:szCs w:val="18"/>
              </w:rPr>
              <w:t xml:space="preserve">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color w:val="000000"/>
                <w:szCs w:val="18"/>
                <w:u w:val="single"/>
              </w:rPr>
              <w:t xml:space="preserve">     </w:t>
            </w:r>
            <w:r>
              <w:rPr>
                <w:color w:val="000000"/>
                <w:szCs w:val="18"/>
              </w:rPr>
              <w:t xml:space="preserve">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u w:val="single"/>
                <w:lang w:eastAsia="zh-CN"/>
              </w:rPr>
              <w:t>无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szCs w:val="21"/>
              </w:rPr>
              <w:t>□人员技能、□设备能力、□原料控制、□工艺方法、□工作环境、□破坏性试验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国家标准、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行业标准、□地方标准、□企业标准、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企业技术规范 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正常情况下至少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个月一次；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原辅材料有较大变化。； </w:t>
            </w:r>
            <w:r>
              <w:rPr>
                <w:color w:val="000000"/>
                <w:szCs w:val="21"/>
              </w:rPr>
              <w:t xml:space="preserve">  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 xml:space="preserve">检测部门名称： </w:t>
            </w:r>
            <w:r>
              <w:rPr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报告日期：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color w:val="000000"/>
                <w:u w:val="single"/>
                <w:lang w:eastAsia="zh-CN"/>
              </w:rPr>
              <w:t>；</w:t>
            </w:r>
            <w:r>
              <w:rPr>
                <w:color w:val="000000"/>
                <w:szCs w:val="21"/>
              </w:rPr>
              <w:t xml:space="preserve">           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与企业提供的工艺流程一致；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>混凝土搅拌站、发电机、轮胎装载机、混凝土搅拌输送车、混凝土泵车、混凝土车载泵、湿混回收处理设备、扫路车、洗车机皮带电机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螺旋机电机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砂石分离机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沉淀池电机</w:t>
            </w:r>
            <w:r>
              <w:rPr>
                <w:rFonts w:hint="eastAsia"/>
                <w:color w:val="000000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u w:val="single"/>
              </w:rPr>
              <w:t>水泵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等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电能表、水表</w:t>
            </w:r>
            <w:r>
              <w:rPr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起重机械；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压力容器；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压力管道；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锅炉；□电梯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确认环境影响评价的种类：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环境影响登记表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环境影响报告表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环境影响报告书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现有产量与环评的产能的对比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2020年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；</w:t>
            </w:r>
            <w:r>
              <w:rPr>
                <w:rFonts w:hint="eastAsia"/>
                <w:color w:val="000000"/>
                <w:szCs w:val="18"/>
              </w:rPr>
              <w:t xml:space="preserve"> 环评的产能：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color w:val="000000"/>
                <w:szCs w:val="18"/>
              </w:rPr>
              <w:t>查看《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             </w:t>
            </w:r>
            <w:r>
              <w:rPr>
                <w:color w:val="000000"/>
                <w:szCs w:val="18"/>
              </w:rPr>
              <w:t>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</w:p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               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hint="eastAsia"/>
                <w:color w:val="000000"/>
                <w:szCs w:val="18"/>
              </w:rPr>
              <w:t>污染物排放种类：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污染物排放总量：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未达标，需要改进：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污染物排放浓度：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未达标，需要改进：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查看环境因素的识别的充分性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了解重要环境因素评价的合理性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了解重要环境因素的和控制措施的有效性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查看合规性证明（9</w:t>
            </w:r>
            <w:r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年后新扩建的环评验收、环境监测报告）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eastAsia"/>
                <w:color w:val="000000"/>
                <w:szCs w:val="18"/>
              </w:rPr>
              <w:t>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000000"/>
                <w:szCs w:val="18"/>
              </w:rPr>
              <w:t>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了解危险化学品的种类——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了解危险化学品的MSDS的收集情况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了解危险废弃物的种类——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发生过紧急事件，说明：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  <w:r>
              <w:rPr>
                <w:rFonts w:hint="eastAsia"/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u w:val="single"/>
              </w:rPr>
              <w:t xml:space="preserve">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消防手动报警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消防泵房 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了解环保知识和技能教育的实施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不充分，需要完善： 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有车间安全培训    如：有害气体检测装置使用培训</w:t>
            </w:r>
            <w:r>
              <w:rPr>
                <w:rFonts w:hint="eastAsia"/>
                <w:color w:val="000000"/>
                <w:szCs w:val="18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高压电工作业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低压电工作业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焊接与热切割作业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高处作业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制冷与空调作业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煤矿安全作业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矿山安全作业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石油天然气安全作业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冶金生产安全作业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危险品安全作业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烟花爆竹安全作业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了解特种设备作业人员的状况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场内机动车辆（叉车）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起重机械 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压力容器（气瓶）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压力管道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电梯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锅炉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客运索道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大型游乐设施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近一年重大环保事故情况，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查看地理位置图、污水管网图（适用时）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生态保护区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了解环境影响的种类：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污染物排放的种类：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工业固体废弃物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危险废弃物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观察基础设施（环保设备）运行完好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观察环境相关的监视和测量设备的种类并了解检定/校准情况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污水在线监测仪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COD监测仪   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 xml:space="preserve">酸度计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压差表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安全阀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观察总排口是否存在明显违规现象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有异常，需要改进： </w:t>
            </w:r>
            <w:r>
              <w:rPr>
                <w:rFonts w:hint="eastAsia"/>
                <w:color w:val="000000"/>
                <w:lang w:val="en-US" w:eastAsia="zh-CN"/>
              </w:rPr>
              <w:t>对噪声及粉尘的监控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C00000"/>
                <w:u w:val="single"/>
                <w:lang w:val="en-US" w:eastAsia="zh-CN"/>
              </w:rPr>
              <w:t>提供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在线检测报告</w:t>
            </w:r>
            <w:r>
              <w:rPr>
                <w:rFonts w:hint="eastAsia"/>
                <w:color w:val="000000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OHSMS运行情况：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确认职业健康风险的合规证据：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安全预评估报告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安全现状评估报告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职业健康预评估报告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职业健康现状评估报告</w:t>
            </w:r>
            <w:r>
              <w:rPr>
                <w:rFonts w:hint="eastAsia"/>
                <w:color w:val="000000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《安全生产</w:t>
            </w:r>
            <w:r>
              <w:rPr>
                <w:color w:val="000000"/>
                <w:szCs w:val="18"/>
              </w:rPr>
              <w:t>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许可范围：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查看危险源的辨识的充分性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了解重要危险源评价的合理性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了解重要危险源的控制措施的有效性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查看合规性证明（作业场所有害物质监测报告、职业病体检报告）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《作业场所有害物质监测报告》编号：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有害微生物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《职业病体检报告》编号：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有害微生物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特殊作业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了解危险化学品的种类及MSDS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了解危险废弃物的种类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消防手动报警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消防泵房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了解防静电/防雷控制状况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检测合格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未检测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发生过紧急事件，说明：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进行应急演练，说明：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了解特种作业人员的状况</w:t>
            </w:r>
          </w:p>
          <w:p>
            <w:pPr>
              <w:ind w:firstLine="210" w:firstLineChars="100"/>
              <w:rPr>
                <w:color w:val="000000"/>
                <w:szCs w:val="22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高压电工作业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低压电工作业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焊接与热切割作业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高处作业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2"/>
              </w:rPr>
              <w:t xml:space="preserve">制冷与空调作业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2"/>
              </w:rPr>
              <w:t xml:space="preserve">煤矿安全作业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2"/>
              </w:rPr>
              <w:t xml:space="preserve">矿山安全作业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2"/>
              </w:rPr>
              <w:t xml:space="preserve">石油天然气安全作业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2"/>
              </w:rPr>
              <w:t>冶金生产安全作业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sym w:font="Wingdings" w:char="00A8"/>
            </w:r>
            <w:r>
              <w:rPr>
                <w:rFonts w:hint="eastAsia"/>
                <w:color w:val="000000"/>
                <w:szCs w:val="22"/>
              </w:rPr>
              <w:t>危险</w:t>
            </w:r>
            <w:r>
              <w:rPr>
                <w:rFonts w:hint="eastAsia"/>
                <w:color w:val="000000"/>
              </w:rPr>
              <w:t xml:space="preserve">品安全作业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color w:val="000000"/>
                <w:szCs w:val="22"/>
              </w:rPr>
              <w:sym w:font="Wingdings" w:char="00A8"/>
            </w:r>
            <w:r>
              <w:rPr>
                <w:rFonts w:hint="eastAsia"/>
                <w:color w:val="000000"/>
                <w:szCs w:val="22"/>
              </w:rPr>
              <w:t>烟花爆竹</w:t>
            </w:r>
            <w:r>
              <w:rPr>
                <w:rFonts w:hint="eastAsia"/>
                <w:color w:val="000000"/>
              </w:rPr>
              <w:t xml:space="preserve">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了解特种设备作业人员的状况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压力容器（气瓶）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客运索道</w:t>
            </w:r>
            <w:r>
              <w:rPr>
                <w:rFonts w:hint="eastAsia" w:ascii="PMingLiU" w:hAnsi="PMingLiU" w:cs="PMingLiU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大型游乐设施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了解三级安全教育的实施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了解职业危害告知的实施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生态保护区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了解职业健康安全风险的种类：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</w:rPr>
              <w:t xml:space="preserve">机械伤害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</w:rPr>
              <w:t xml:space="preserve">触电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</w:rPr>
              <w:t xml:space="preserve">化学伤害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</w:rPr>
              <w:t xml:space="preserve">噪声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</w:rPr>
              <w:t xml:space="preserve">粉尘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</w:rPr>
              <w:t xml:space="preserve">危险作业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</w:rPr>
              <w:t xml:space="preserve">高低温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</w:rPr>
              <w:t xml:space="preserve">危化品泄露 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</w:rPr>
              <w:t xml:space="preserve">压力容器爆炸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</w:rPr>
              <w:t xml:space="preserve">火灾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>
            <w:pPr>
              <w:widowControl/>
              <w:spacing w:before="40"/>
              <w:jc w:val="left"/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危险废弃物排放的种类：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固体废弃物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观察基础设施（包括环保设备）运行完好状况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观察安全装置运行完好状况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急停按钮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联锁装置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光栅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消防手动报警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安全拉绳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观察职业健康安全相关的监视和测量设备的种类并了解检定/校准情况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温度计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压力表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可燃气体报警器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氧气含量测定仪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绝缘摇表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安全阀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观察使用劳保用品的种类和配备情况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安全帽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护目镜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防尘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防毒</w:t>
            </w:r>
            <w:r>
              <w:rPr>
                <w:rFonts w:hint="eastAsia"/>
                <w:color w:val="000000"/>
                <w:szCs w:val="21"/>
              </w:rPr>
              <w:t xml:space="preserve">面罩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耳塞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耳罩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防护服</w:t>
            </w:r>
            <w:r>
              <w:rPr>
                <w:rFonts w:hint="eastAsia"/>
                <w:color w:val="000000"/>
              </w:rPr>
              <w:t xml:space="preserve"> 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防酸碱手套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 xml:space="preserve">绝缘手套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 xml:space="preserve">防砸鞋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 xml:space="preserve">防穿刺鞋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绝缘鞋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观察所有区域是否存在明显违规现象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有异常，需要改进：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了解是否存在室外作业的情况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了解周边是否存在危险源和职业健康安全风险的情况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EnMS运行情况：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rFonts w:hint="eastAsia" w:eastAsia="宋体"/>
                <w:color w:val="000000"/>
                <w:szCs w:val="18"/>
                <w:lang w:eastAsia="zh-CN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确认能源消耗的种类：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电力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柴油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汽油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重点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用</w:t>
            </w:r>
            <w:r>
              <w:rPr>
                <w:rFonts w:hint="eastAsia"/>
                <w:color w:val="000000"/>
                <w:szCs w:val="18"/>
              </w:rPr>
              <w:t>能单位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一般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用</w:t>
            </w:r>
            <w:r>
              <w:rPr>
                <w:rFonts w:hint="eastAsia"/>
                <w:color w:val="000000"/>
                <w:szCs w:val="18"/>
              </w:rPr>
              <w:t>能单位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             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能源目标指标完成情况：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  <w:tbl>
            <w:tblPr>
              <w:tblStyle w:val="9"/>
              <w:tblW w:w="978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06"/>
              <w:gridCol w:w="2258"/>
              <w:gridCol w:w="45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能耗指标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完成情况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>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国家限额指标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color w:val="auto"/>
                      <w:szCs w:val="21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已完成  </w:t>
                  </w: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未完成   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hint="default" w:ascii="Times New Roman" w:hAnsi="Times New Roman" w:cs="Times New Roman"/>
                      <w:color w:val="auto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Cs w:val="21"/>
                      <w:highlight w:val="none"/>
                      <w:lang w:val="en-US" w:eastAsia="zh-CN"/>
                    </w:rPr>
                    <w:t xml:space="preserve">单方生产综合能耗 III级，经计算≦1.10 </w:t>
                  </w:r>
                </w:p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Cs w:val="21"/>
                      <w:highlight w:val="none"/>
                      <w:lang w:val="en-US" w:eastAsia="zh-CN"/>
                    </w:rPr>
                    <w:t xml:space="preserve">单方运输综合能耗I级，经计算≦1.85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地方政府下达的指标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已完成  </w:t>
                  </w: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未完成   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集团或上一级部门下达的指标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color w:val="auto"/>
                      <w:szCs w:val="21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已完成  </w:t>
                  </w: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未完成   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hint="default" w:ascii="宋体" w:hAnsi="宋体" w:eastAsia="宋体" w:cs="宋体"/>
                      <w:color w:val="auto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  <w:lang w:val="en-US" w:eastAsia="zh-CN"/>
                    </w:rPr>
                    <w:t>三级单位收集本组织的水电油数据进行分析给出结论；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06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</w:rPr>
                    <w:t>本单位制定的目标指标</w:t>
                  </w:r>
                </w:p>
              </w:tc>
              <w:tc>
                <w:tcPr>
                  <w:tcW w:w="2258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color w:val="auto"/>
                      <w:szCs w:val="21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已完成  </w:t>
                  </w:r>
                  <w:r>
                    <w:rPr>
                      <w:color w:val="auto"/>
                      <w:szCs w:val="21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 xml:space="preserve">未完成   </w:t>
                  </w:r>
                </w:p>
              </w:tc>
              <w:tc>
                <w:tcPr>
                  <w:tcW w:w="4524" w:type="dxa"/>
                </w:tcPr>
                <w:p>
                  <w:pPr>
                    <w:rPr>
                      <w:rFonts w:ascii="宋体" w:hAnsi="宋体" w:cs="宋体"/>
                      <w:color w:val="auto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  <w:highlight w:val="none"/>
                      <w:lang w:val="en-US" w:eastAsia="zh-CN"/>
                    </w:rPr>
                    <w:t>2020年度目标指标达成；</w:t>
                  </w:r>
                </w:p>
              </w:tc>
            </w:tr>
          </w:tbl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现有产量与能源评估的产能的对比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u w:val="single"/>
                <w:vertAlign w:val="baseline"/>
                <w:lang w:val="en-US" w:eastAsia="zh-CN" w:bidi="ar-SA"/>
              </w:rPr>
              <w:t>混凝</w:t>
            </w:r>
            <w:r>
              <w:rPr>
                <w:rFonts w:hint="eastAsia" w:ascii="宋体" w:hAnsi="宋体" w:cs="宋体"/>
                <w:b w:val="0"/>
                <w:bCs w:val="0"/>
                <w:snapToGrid w:val="0"/>
                <w:kern w:val="0"/>
                <w:sz w:val="21"/>
                <w:szCs w:val="21"/>
                <w:u w:val="single"/>
                <w:vertAlign w:val="baseline"/>
                <w:lang w:val="en-US" w:eastAsia="zh-CN" w:bidi="ar-SA"/>
              </w:rPr>
              <w:t>土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u w:val="single"/>
                <w:vertAlign w:val="baseline"/>
                <w:lang w:val="en-US" w:eastAsia="zh-CN" w:bidi="ar-SA"/>
              </w:rPr>
              <w:t xml:space="preserve">生产量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540t（2020~2021年度）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u w:val="single"/>
                <w:vertAlign w:val="baseline"/>
                <w:lang w:val="en-US" w:eastAsia="zh-CN" w:bidi="ar-SA"/>
              </w:rPr>
              <w:t>。</w:t>
            </w:r>
            <w:r>
              <w:rPr>
                <w:rFonts w:hint="eastAsia"/>
                <w:color w:val="000000"/>
                <w:szCs w:val="18"/>
              </w:rPr>
              <w:t>能评的产能：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660t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查看</w:t>
            </w:r>
            <w:r>
              <w:rPr>
                <w:rFonts w:hint="eastAsia"/>
                <w:color w:val="000000"/>
                <w:szCs w:val="18"/>
              </w:rPr>
              <w:t>合规性证明</w:t>
            </w: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color w:val="000000"/>
                <w:szCs w:val="18"/>
                <w:highlight w:val="none"/>
              </w:rPr>
              <w:t>《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  </w:t>
            </w:r>
            <w:r>
              <w:rPr>
                <w:color w:val="000000"/>
                <w:szCs w:val="18"/>
                <w:highlight w:val="none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日</w:t>
            </w:r>
            <w:r>
              <w:rPr>
                <w:rFonts w:hint="eastAsia"/>
                <w:color w:val="000000"/>
                <w:szCs w:val="18"/>
                <w:highlight w:val="none"/>
              </w:rPr>
              <w:t>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年     月     日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结论：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color w:val="000000"/>
                <w:szCs w:val="18"/>
                <w:highlight w:val="none"/>
              </w:rPr>
              <w:t>《</w:t>
            </w:r>
            <w:r>
              <w:rPr>
                <w:rFonts w:hint="eastAsia"/>
                <w:highlight w:val="none"/>
              </w:rPr>
              <w:t>节能项目验收</w:t>
            </w:r>
            <w:r>
              <w:rPr>
                <w:color w:val="000000"/>
                <w:szCs w:val="18"/>
                <w:highlight w:val="none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日</w:t>
            </w:r>
            <w:r>
              <w:rPr>
                <w:rFonts w:hint="eastAsia"/>
                <w:color w:val="000000"/>
                <w:szCs w:val="18"/>
                <w:highlight w:val="none"/>
              </w:rPr>
              <w:t>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结论：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                                                            </w:t>
            </w:r>
          </w:p>
          <w:p>
            <w:pPr>
              <w:rPr>
                <w:color w:val="000000"/>
                <w:szCs w:val="18"/>
                <w:highlight w:val="none"/>
              </w:rPr>
            </w:pPr>
          </w:p>
          <w:p>
            <w:pPr>
              <w:rPr>
                <w:color w:val="000000"/>
                <w:szCs w:val="18"/>
                <w:highlight w:val="none"/>
                <w:u w:val="single"/>
              </w:rPr>
            </w:pPr>
            <w:r>
              <w:rPr>
                <w:color w:val="000000"/>
                <w:szCs w:val="18"/>
                <w:highlight w:val="none"/>
              </w:rPr>
              <w:t>《</w:t>
            </w:r>
            <w:r>
              <w:rPr>
                <w:rFonts w:hint="eastAsia"/>
                <w:highlight w:val="none"/>
              </w:rPr>
              <w:t>能源审计报告</w:t>
            </w:r>
            <w:r>
              <w:rPr>
                <w:color w:val="000000"/>
                <w:szCs w:val="18"/>
                <w:highlight w:val="none"/>
              </w:rPr>
              <w:t>》</w:t>
            </w:r>
            <w:r>
              <w:rPr>
                <w:rFonts w:hint="eastAsia"/>
                <w:color w:val="000000"/>
                <w:szCs w:val="18"/>
                <w:highlight w:val="none"/>
              </w:rPr>
              <w:t>编号：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日</w:t>
            </w:r>
            <w:r>
              <w:rPr>
                <w:rFonts w:hint="eastAsia"/>
                <w:color w:val="000000"/>
                <w:szCs w:val="18"/>
                <w:highlight w:val="none"/>
              </w:rPr>
              <w:t>期：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结论：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                                                      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查看主要能源使用的识别的充分性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了解能源基准和能源绩效参数确定的合理性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</w:p>
          <w:p>
            <w:pPr>
              <w:pStyle w:val="16"/>
              <w:numPr>
                <w:ilvl w:val="0"/>
                <w:numId w:val="1"/>
              </w:numPr>
              <w:ind w:firstLineChars="0"/>
              <w:rPr>
                <w:color w:val="000000"/>
                <w:sz w:val="21"/>
                <w:szCs w:val="18"/>
              </w:rPr>
            </w:pPr>
            <w:r>
              <w:rPr>
                <w:rFonts w:hint="eastAsia"/>
                <w:color w:val="000000"/>
                <w:sz w:val="21"/>
                <w:szCs w:val="18"/>
              </w:rPr>
              <w:t xml:space="preserve">了解能源数据收集的策划的合理性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了解适用的能源法律和其他要求的获取、识别和实施情况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组织能源评审报告的完成情况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近一年是否进行了技术改进？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未发生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szCs w:val="18"/>
              </w:rPr>
              <w:t>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新购置车辆及生产设备节能等级达标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rPr>
                <w:color w:val="000000"/>
                <w:szCs w:val="18"/>
                <w:highlight w:val="red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能源采购包括：</w:t>
            </w:r>
          </w:p>
          <w:p>
            <w:pPr>
              <w:ind w:left="210" w:leftChars="100"/>
              <w:rPr>
                <w:rFonts w:hint="eastAsia" w:eastAsia="宋体"/>
                <w:color w:val="000000"/>
                <w:szCs w:val="18"/>
                <w:lang w:val="en-US" w:eastAsia="zh-CN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FE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蒸汽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压缩气体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了解节能知识和技能教育的实施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不充分，需要完善：    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— 了解主要能源使用情况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电力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FE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  <w:lang w:val="en-US" w:eastAsia="zh-CN"/>
              </w:rPr>
              <w:t xml:space="preserve">气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蒸汽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                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</w:rPr>
              <w:t>了解节水情况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新鲜水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循环水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化学水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除盐水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 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了解主要耗能设备的识别状况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电力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煤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FE"/>
            </w:r>
            <w:r>
              <w:rPr>
                <w:color w:val="000000"/>
              </w:rPr>
              <w:t>燃料</w:t>
            </w:r>
            <w:r>
              <w:rPr>
                <w:rFonts w:hint="eastAsia"/>
                <w:color w:val="000000"/>
              </w:rPr>
              <w:t xml:space="preserve">油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蒸汽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 了解主要耗能设备的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运行效率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机泵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变压器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锅炉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机床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锻压设备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了解淘汰落后设备的识别情况</w:t>
            </w:r>
          </w:p>
          <w:p>
            <w:pPr>
              <w:ind w:left="210" w:left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机泵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变压器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锅炉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机床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锻压设备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ind w:left="210" w:leftChars="100"/>
              <w:rPr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color w:val="000000"/>
                <w:szCs w:val="18"/>
              </w:rPr>
              <w:t>了解能耗限值达标情况</w:t>
            </w:r>
          </w:p>
          <w:p>
            <w:pPr>
              <w:ind w:firstLine="210" w:firstLineChars="10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达标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不达标，原因：————————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了解能源计量器具配备情况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用能单位            配备率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主要次级用能单位</w:t>
            </w:r>
            <w:r>
              <w:rPr>
                <w:rFonts w:hint="eastAsia"/>
                <w:color w:val="000000"/>
                <w:szCs w:val="18"/>
              </w:rPr>
              <w:t xml:space="preserve">    配备率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主要用能设备        配备率 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  <w:r>
              <w:rPr>
                <w:rFonts w:hint="eastAsia"/>
                <w:color w:val="000000"/>
                <w:szCs w:val="18"/>
              </w:rPr>
              <w:t xml:space="preserve">    配备等级 </w:t>
            </w:r>
            <w:r>
              <w:rPr>
                <w:color w:val="000000"/>
                <w:szCs w:val="18"/>
              </w:rPr>
              <w:sym w:font="Wingdings" w:char="00FE"/>
            </w:r>
            <w:r>
              <w:rPr>
                <w:color w:val="000000"/>
                <w:szCs w:val="18"/>
              </w:rPr>
              <w:t>符合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color w:val="000000"/>
                <w:szCs w:val="18"/>
              </w:rPr>
              <w:sym w:font="Wingdings" w:char="00A8"/>
            </w:r>
            <w:r>
              <w:rPr>
                <w:color w:val="000000"/>
                <w:szCs w:val="18"/>
              </w:rPr>
              <w:t>不符合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近一年重大能源事故情况，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EnMS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查看地理位置图、厂区平面图（适用时）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生态保护区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巡视办公区域和生产区域的能源管理情况，是否存在：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空调温度控制，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长明灯，</w:t>
            </w:r>
            <w:r>
              <w:rPr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>长流水；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天然气使用开关关闭；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巡视生产区域（厂区、车间、锅炉、加热炉、公用工程等），</w:t>
            </w:r>
            <w:r>
              <w:rPr>
                <w:rFonts w:hint="eastAsia"/>
                <w:color w:val="000000"/>
                <w:szCs w:val="18"/>
              </w:rPr>
              <w:t>了解能源使用的种类：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燃料气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热水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燃料油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巡视动力设施和辅助设施的状况，关注主要用能场所：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锅炉房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加热炉   </w:t>
            </w: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汽轮机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空压机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低压配电室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污水处理站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改建/扩建施工现场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食堂   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观察基础设施（高耗能设备）运行完好：是否存在低负荷运行——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电动机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工业锅炉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工业炉窑 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电器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反应釜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机床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锻压设备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热处理设备</w:t>
            </w:r>
          </w:p>
          <w:p>
            <w:pPr>
              <w:widowControl/>
              <w:spacing w:before="40"/>
              <w:ind w:left="420" w:leftChars="100" w:hanging="210" w:hangingChars="1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制冷设备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泵 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观察能源相关的监视和测量设备的种类并了解检定/校准情况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color w:val="000000"/>
              </w:rPr>
              <w:t>流量计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氧化锆测定仪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电表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电流表    </w:t>
            </w:r>
            <w:r>
              <w:rPr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电压表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 xml:space="preserve">-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6E0EC" w:themeFill="accent4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numPr>
                <w:ilvl w:val="0"/>
                <w:numId w:val="2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6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劳保用品  </w:t>
            </w:r>
          </w:p>
          <w:p>
            <w:pPr>
              <w:pStyle w:val="16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6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</w:p>
          <w:p>
            <w:pPr>
              <w:pStyle w:val="16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6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>
            <w:pPr>
              <w:pStyle w:val="16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6"/>
        <w:rPr>
          <w:rFonts w:hint="eastAsia"/>
        </w:rPr>
      </w:pPr>
      <w:r>
        <w:rPr>
          <w:rFonts w:hint="eastAsia"/>
        </w:rPr>
        <w:t>说明：不符合标注N</w:t>
      </w:r>
    </w:p>
    <w:p>
      <w:pPr>
        <w:pStyle w:val="6"/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IQaq5dYAAAAKAQAADwAAAAAAAAABACAAAAAiAAAAZHJzL2Rvd25yZXYueG1sUEsBAhQAFAAAAAgA&#10;h07iQBL58sK1AQAAQQMAAA4AAAAAAAAAAQAgAAAAJQEAAGRycy9lMm9Eb2MueG1sUEsFBgAAAAAG&#10;AAYAWQEAAEw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7A16B35"/>
    <w:multiLevelType w:val="multilevel"/>
    <w:tmpl w:val="37A16B35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6C4A"/>
    <w:rsid w:val="0003373A"/>
    <w:rsid w:val="00050712"/>
    <w:rsid w:val="00062769"/>
    <w:rsid w:val="00074D9E"/>
    <w:rsid w:val="00076F03"/>
    <w:rsid w:val="00097367"/>
    <w:rsid w:val="000C6230"/>
    <w:rsid w:val="000D470C"/>
    <w:rsid w:val="00100C47"/>
    <w:rsid w:val="00103E50"/>
    <w:rsid w:val="00105A91"/>
    <w:rsid w:val="00142813"/>
    <w:rsid w:val="0016190B"/>
    <w:rsid w:val="0019467A"/>
    <w:rsid w:val="001A2D7F"/>
    <w:rsid w:val="001D3EA6"/>
    <w:rsid w:val="0020266E"/>
    <w:rsid w:val="002231B7"/>
    <w:rsid w:val="002B73EB"/>
    <w:rsid w:val="002E5391"/>
    <w:rsid w:val="003027A0"/>
    <w:rsid w:val="00311C11"/>
    <w:rsid w:val="00337922"/>
    <w:rsid w:val="00340867"/>
    <w:rsid w:val="00340955"/>
    <w:rsid w:val="00380837"/>
    <w:rsid w:val="003D039F"/>
    <w:rsid w:val="00410914"/>
    <w:rsid w:val="00476214"/>
    <w:rsid w:val="00480A77"/>
    <w:rsid w:val="004E2167"/>
    <w:rsid w:val="00501B6F"/>
    <w:rsid w:val="00536930"/>
    <w:rsid w:val="00564E53"/>
    <w:rsid w:val="00577053"/>
    <w:rsid w:val="00577834"/>
    <w:rsid w:val="005C2AC8"/>
    <w:rsid w:val="005E1D4D"/>
    <w:rsid w:val="005F277C"/>
    <w:rsid w:val="005F54B8"/>
    <w:rsid w:val="00622D37"/>
    <w:rsid w:val="00644FE2"/>
    <w:rsid w:val="0067640C"/>
    <w:rsid w:val="0067722B"/>
    <w:rsid w:val="006A51B5"/>
    <w:rsid w:val="006D4E32"/>
    <w:rsid w:val="006E678B"/>
    <w:rsid w:val="006F4C57"/>
    <w:rsid w:val="0074211D"/>
    <w:rsid w:val="00763D34"/>
    <w:rsid w:val="007757F3"/>
    <w:rsid w:val="007E6AEB"/>
    <w:rsid w:val="00824194"/>
    <w:rsid w:val="00854B68"/>
    <w:rsid w:val="00871C15"/>
    <w:rsid w:val="008726E2"/>
    <w:rsid w:val="008973EE"/>
    <w:rsid w:val="008C7D6A"/>
    <w:rsid w:val="0090203B"/>
    <w:rsid w:val="009051F1"/>
    <w:rsid w:val="00916110"/>
    <w:rsid w:val="0093215A"/>
    <w:rsid w:val="00971600"/>
    <w:rsid w:val="00971A54"/>
    <w:rsid w:val="00981736"/>
    <w:rsid w:val="009973B4"/>
    <w:rsid w:val="009C0511"/>
    <w:rsid w:val="009F78F1"/>
    <w:rsid w:val="009F7EED"/>
    <w:rsid w:val="00A04720"/>
    <w:rsid w:val="00A061E7"/>
    <w:rsid w:val="00A27ED7"/>
    <w:rsid w:val="00AD1D75"/>
    <w:rsid w:val="00AF0AAB"/>
    <w:rsid w:val="00B07E97"/>
    <w:rsid w:val="00B22211"/>
    <w:rsid w:val="00B258C1"/>
    <w:rsid w:val="00B317B8"/>
    <w:rsid w:val="00B90C74"/>
    <w:rsid w:val="00B915AC"/>
    <w:rsid w:val="00B94AE0"/>
    <w:rsid w:val="00BB78B7"/>
    <w:rsid w:val="00BD73F7"/>
    <w:rsid w:val="00BF597E"/>
    <w:rsid w:val="00C15170"/>
    <w:rsid w:val="00C220BC"/>
    <w:rsid w:val="00C35CB6"/>
    <w:rsid w:val="00C51A36"/>
    <w:rsid w:val="00C55228"/>
    <w:rsid w:val="00C616BB"/>
    <w:rsid w:val="00C744D2"/>
    <w:rsid w:val="00CC7D3E"/>
    <w:rsid w:val="00CE315A"/>
    <w:rsid w:val="00D06F59"/>
    <w:rsid w:val="00D21991"/>
    <w:rsid w:val="00D42726"/>
    <w:rsid w:val="00D8388C"/>
    <w:rsid w:val="00E13F1E"/>
    <w:rsid w:val="00E60789"/>
    <w:rsid w:val="00E60CEC"/>
    <w:rsid w:val="00E678D6"/>
    <w:rsid w:val="00E734D5"/>
    <w:rsid w:val="00E823AC"/>
    <w:rsid w:val="00E96296"/>
    <w:rsid w:val="00EB0164"/>
    <w:rsid w:val="00EC2D9D"/>
    <w:rsid w:val="00ED0F62"/>
    <w:rsid w:val="00ED31DE"/>
    <w:rsid w:val="00F05CBB"/>
    <w:rsid w:val="00F135F7"/>
    <w:rsid w:val="00F17883"/>
    <w:rsid w:val="00F35C3A"/>
    <w:rsid w:val="00F411FF"/>
    <w:rsid w:val="00F71ED3"/>
    <w:rsid w:val="00F85FCD"/>
    <w:rsid w:val="00F9689E"/>
    <w:rsid w:val="023E3548"/>
    <w:rsid w:val="023E7EF8"/>
    <w:rsid w:val="033D1C2C"/>
    <w:rsid w:val="03CC01AD"/>
    <w:rsid w:val="04242A2B"/>
    <w:rsid w:val="048575B6"/>
    <w:rsid w:val="05A97751"/>
    <w:rsid w:val="07687D49"/>
    <w:rsid w:val="089D2465"/>
    <w:rsid w:val="0B0349A4"/>
    <w:rsid w:val="0B4E7CE4"/>
    <w:rsid w:val="0B620728"/>
    <w:rsid w:val="0BA547CC"/>
    <w:rsid w:val="0BAB3B27"/>
    <w:rsid w:val="0BF31613"/>
    <w:rsid w:val="0CE360D5"/>
    <w:rsid w:val="0D2E023B"/>
    <w:rsid w:val="0DE37984"/>
    <w:rsid w:val="0E7B2CC7"/>
    <w:rsid w:val="0F0D1284"/>
    <w:rsid w:val="0F751007"/>
    <w:rsid w:val="108219C2"/>
    <w:rsid w:val="10957F92"/>
    <w:rsid w:val="109E2734"/>
    <w:rsid w:val="10AB520A"/>
    <w:rsid w:val="11537B43"/>
    <w:rsid w:val="117E6D5A"/>
    <w:rsid w:val="11CD659A"/>
    <w:rsid w:val="12787EE6"/>
    <w:rsid w:val="12D12C05"/>
    <w:rsid w:val="130E504F"/>
    <w:rsid w:val="131B209B"/>
    <w:rsid w:val="13890C34"/>
    <w:rsid w:val="143A5109"/>
    <w:rsid w:val="144E55A7"/>
    <w:rsid w:val="14BA7805"/>
    <w:rsid w:val="16674354"/>
    <w:rsid w:val="16950047"/>
    <w:rsid w:val="184C61B5"/>
    <w:rsid w:val="18A12E8E"/>
    <w:rsid w:val="1B0C55E1"/>
    <w:rsid w:val="1B121C61"/>
    <w:rsid w:val="1B48360A"/>
    <w:rsid w:val="1B8D4D03"/>
    <w:rsid w:val="1B917B85"/>
    <w:rsid w:val="1B9B6ABA"/>
    <w:rsid w:val="1C335B99"/>
    <w:rsid w:val="1C5A0E97"/>
    <w:rsid w:val="1C633876"/>
    <w:rsid w:val="1CB32766"/>
    <w:rsid w:val="1EAA0B75"/>
    <w:rsid w:val="1F022080"/>
    <w:rsid w:val="1F4D1700"/>
    <w:rsid w:val="1F8B7D7A"/>
    <w:rsid w:val="1FA53B1A"/>
    <w:rsid w:val="1FEE223A"/>
    <w:rsid w:val="205B068C"/>
    <w:rsid w:val="21016ED3"/>
    <w:rsid w:val="21517F70"/>
    <w:rsid w:val="217577AF"/>
    <w:rsid w:val="22401A05"/>
    <w:rsid w:val="22847E42"/>
    <w:rsid w:val="24130147"/>
    <w:rsid w:val="24564FE2"/>
    <w:rsid w:val="252F00C9"/>
    <w:rsid w:val="25D802CC"/>
    <w:rsid w:val="25F731AD"/>
    <w:rsid w:val="26241121"/>
    <w:rsid w:val="26A36FC5"/>
    <w:rsid w:val="26D86D9D"/>
    <w:rsid w:val="278D18F5"/>
    <w:rsid w:val="278F25E8"/>
    <w:rsid w:val="27C52A22"/>
    <w:rsid w:val="283B0D09"/>
    <w:rsid w:val="28AE480B"/>
    <w:rsid w:val="28B643EE"/>
    <w:rsid w:val="290F2A57"/>
    <w:rsid w:val="29384107"/>
    <w:rsid w:val="29860A3F"/>
    <w:rsid w:val="2A55501F"/>
    <w:rsid w:val="2ACD303D"/>
    <w:rsid w:val="2B5D50A3"/>
    <w:rsid w:val="2C6457A0"/>
    <w:rsid w:val="2CC2053B"/>
    <w:rsid w:val="2DEB5B9F"/>
    <w:rsid w:val="2EE13094"/>
    <w:rsid w:val="2F2B229D"/>
    <w:rsid w:val="30A94000"/>
    <w:rsid w:val="30D4357D"/>
    <w:rsid w:val="31230AE2"/>
    <w:rsid w:val="322F7AAD"/>
    <w:rsid w:val="337866CB"/>
    <w:rsid w:val="33AC1E72"/>
    <w:rsid w:val="342E5633"/>
    <w:rsid w:val="357300C6"/>
    <w:rsid w:val="362C71DC"/>
    <w:rsid w:val="368D4A53"/>
    <w:rsid w:val="37741286"/>
    <w:rsid w:val="38442B85"/>
    <w:rsid w:val="385A4AB2"/>
    <w:rsid w:val="38CF3AE1"/>
    <w:rsid w:val="39AB58CB"/>
    <w:rsid w:val="3A242819"/>
    <w:rsid w:val="3AC608CB"/>
    <w:rsid w:val="3BBB3FFC"/>
    <w:rsid w:val="3BE22D59"/>
    <w:rsid w:val="3C4A64C8"/>
    <w:rsid w:val="3D1E51E8"/>
    <w:rsid w:val="3D207B84"/>
    <w:rsid w:val="3D344D20"/>
    <w:rsid w:val="3D662E26"/>
    <w:rsid w:val="3EBF4EFB"/>
    <w:rsid w:val="40D80BB8"/>
    <w:rsid w:val="40D92CA7"/>
    <w:rsid w:val="413D1451"/>
    <w:rsid w:val="44E8380F"/>
    <w:rsid w:val="44FC1CFD"/>
    <w:rsid w:val="45E625F9"/>
    <w:rsid w:val="462C25D5"/>
    <w:rsid w:val="46F31DBC"/>
    <w:rsid w:val="478A2FD4"/>
    <w:rsid w:val="4A040AF9"/>
    <w:rsid w:val="4A474B11"/>
    <w:rsid w:val="4A817CA5"/>
    <w:rsid w:val="4C133CFF"/>
    <w:rsid w:val="4CD55567"/>
    <w:rsid w:val="4DB85769"/>
    <w:rsid w:val="4E767696"/>
    <w:rsid w:val="4F8F6E42"/>
    <w:rsid w:val="50486EB2"/>
    <w:rsid w:val="504978B1"/>
    <w:rsid w:val="50841863"/>
    <w:rsid w:val="50F446D1"/>
    <w:rsid w:val="51A77C3C"/>
    <w:rsid w:val="51F24ECB"/>
    <w:rsid w:val="52721D12"/>
    <w:rsid w:val="53C433BC"/>
    <w:rsid w:val="54050D0D"/>
    <w:rsid w:val="54AF6381"/>
    <w:rsid w:val="54F02770"/>
    <w:rsid w:val="552A24C0"/>
    <w:rsid w:val="55384845"/>
    <w:rsid w:val="558E510B"/>
    <w:rsid w:val="5727729C"/>
    <w:rsid w:val="57732CC8"/>
    <w:rsid w:val="57D23F41"/>
    <w:rsid w:val="58A62B52"/>
    <w:rsid w:val="58BE376D"/>
    <w:rsid w:val="59FE62E7"/>
    <w:rsid w:val="5A087CD7"/>
    <w:rsid w:val="5AA17491"/>
    <w:rsid w:val="5B926253"/>
    <w:rsid w:val="5BEB433B"/>
    <w:rsid w:val="5C5D1F9F"/>
    <w:rsid w:val="5D3C6685"/>
    <w:rsid w:val="5D5A33F7"/>
    <w:rsid w:val="5DDA3CC4"/>
    <w:rsid w:val="5DE244B7"/>
    <w:rsid w:val="5E4661C7"/>
    <w:rsid w:val="5E512C04"/>
    <w:rsid w:val="5E6A62AC"/>
    <w:rsid w:val="5EA12B9A"/>
    <w:rsid w:val="5FE127AB"/>
    <w:rsid w:val="5FE52ADF"/>
    <w:rsid w:val="601604B1"/>
    <w:rsid w:val="607623F4"/>
    <w:rsid w:val="60CD67E6"/>
    <w:rsid w:val="61831066"/>
    <w:rsid w:val="623138DD"/>
    <w:rsid w:val="62A55CAB"/>
    <w:rsid w:val="6413502E"/>
    <w:rsid w:val="663634DC"/>
    <w:rsid w:val="66557E57"/>
    <w:rsid w:val="67EE12FA"/>
    <w:rsid w:val="68F6125C"/>
    <w:rsid w:val="69A27837"/>
    <w:rsid w:val="69F73940"/>
    <w:rsid w:val="6A35028E"/>
    <w:rsid w:val="6A4D59DC"/>
    <w:rsid w:val="6A666DEF"/>
    <w:rsid w:val="6A7E2167"/>
    <w:rsid w:val="6AF11F23"/>
    <w:rsid w:val="6B0317A9"/>
    <w:rsid w:val="6BC3715D"/>
    <w:rsid w:val="6C1E4E37"/>
    <w:rsid w:val="6C665B72"/>
    <w:rsid w:val="6C7B045A"/>
    <w:rsid w:val="6CAF4B0F"/>
    <w:rsid w:val="6E77647E"/>
    <w:rsid w:val="6E847463"/>
    <w:rsid w:val="6F753E02"/>
    <w:rsid w:val="704F0115"/>
    <w:rsid w:val="70E63C29"/>
    <w:rsid w:val="70F03A75"/>
    <w:rsid w:val="711D4B74"/>
    <w:rsid w:val="71A03430"/>
    <w:rsid w:val="724868FF"/>
    <w:rsid w:val="727536BE"/>
    <w:rsid w:val="72824AAA"/>
    <w:rsid w:val="72B140F9"/>
    <w:rsid w:val="72BC26A9"/>
    <w:rsid w:val="73125CA2"/>
    <w:rsid w:val="731A42E7"/>
    <w:rsid w:val="736232A6"/>
    <w:rsid w:val="74024AB6"/>
    <w:rsid w:val="7450335A"/>
    <w:rsid w:val="74C14BCB"/>
    <w:rsid w:val="74D166F6"/>
    <w:rsid w:val="751506D8"/>
    <w:rsid w:val="75370FDC"/>
    <w:rsid w:val="7567151E"/>
    <w:rsid w:val="75E954AA"/>
    <w:rsid w:val="75FF34EF"/>
    <w:rsid w:val="764C516C"/>
    <w:rsid w:val="76CC1AB2"/>
    <w:rsid w:val="785E4287"/>
    <w:rsid w:val="786730B1"/>
    <w:rsid w:val="78951B16"/>
    <w:rsid w:val="78B936C6"/>
    <w:rsid w:val="7A031D92"/>
    <w:rsid w:val="7A447DAB"/>
    <w:rsid w:val="7A907574"/>
    <w:rsid w:val="7ADF52F1"/>
    <w:rsid w:val="7AF26147"/>
    <w:rsid w:val="7C942478"/>
    <w:rsid w:val="7CA96862"/>
    <w:rsid w:val="7CFC1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pPr>
      <w:ind w:left="538"/>
    </w:pPr>
    <w:rPr>
      <w:sz w:val="28"/>
      <w:szCs w:val="28"/>
    </w:rPr>
  </w:style>
  <w:style w:type="paragraph" w:styleId="4">
    <w:name w:val="Body Text Indent"/>
    <w:basedOn w:val="1"/>
    <w:qFormat/>
    <w:uiPriority w:val="0"/>
    <w:pPr>
      <w:ind w:firstLine="425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 w:val="24"/>
    </w:rPr>
  </w:style>
  <w:style w:type="paragraph" w:customStyle="1" w:styleId="17">
    <w:name w:val="样式 正文文本缩进 + 左侧:  2 字符 首行缩进:  2 字符"/>
    <w:basedOn w:val="4"/>
    <w:qFormat/>
    <w:uiPriority w:val="0"/>
    <w:pPr>
      <w:spacing w:line="360" w:lineRule="auto"/>
      <w:ind w:firstLine="420" w:firstLineChars="200"/>
      <w:jc w:val="both"/>
    </w:pPr>
    <w:rPr>
      <w:kern w:val="2"/>
      <w:sz w:val="21"/>
      <w:szCs w:val="21"/>
    </w:rPr>
  </w:style>
  <w:style w:type="paragraph" w:styleId="18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2710</Words>
  <Characters>15447</Characters>
  <Lines>128</Lines>
  <Paragraphs>36</Paragraphs>
  <TotalTime>2</TotalTime>
  <ScaleCrop>false</ScaleCrop>
  <LinksUpToDate>false</LinksUpToDate>
  <CharactersWithSpaces>18121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</cp:lastModifiedBy>
  <dcterms:modified xsi:type="dcterms:W3CDTF">2021-04-08T13:08:30Z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D627786C1A20487B801797FBFDA3ACC8</vt:lpwstr>
  </property>
</Properties>
</file>